
<file path=[Content_Types].xml><?xml version="1.0" encoding="utf-8"?>
<Types xmlns="http://schemas.openxmlformats.org/package/2006/content-types">
  <Default Extension="xml" ContentType="application/xml"/>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Hlk7452148"/>
    </w:p>
    <w:p>
      <w:pPr>
        <w:pStyle w:val="2"/>
      </w:pPr>
    </w:p>
    <w:p/>
    <w:p>
      <w:pPr>
        <w:jc w:val="center"/>
        <w:rPr>
          <w:rFonts w:ascii="Times New Roman" w:hAnsi="Times New Roman" w:eastAsia="方正小标宋简体"/>
          <w:sz w:val="44"/>
          <w:szCs w:val="44"/>
        </w:rPr>
      </w:pPr>
      <w:r>
        <w:rPr>
          <w:rFonts w:hint="eastAsia" w:ascii="Times New Roman" w:hAnsi="Times New Roman" w:eastAsia="方正小标宋简体"/>
          <w:sz w:val="44"/>
          <w:szCs w:val="44"/>
        </w:rPr>
        <w:t>2019年平陆县圣人涧镇营村村一组至二组</w:t>
      </w:r>
    </w:p>
    <w:p>
      <w:pPr>
        <w:jc w:val="center"/>
        <w:rPr>
          <w:rFonts w:ascii="Times New Roman" w:hAnsi="Times New Roman" w:eastAsia="方正小标宋简体"/>
          <w:sz w:val="44"/>
          <w:szCs w:val="44"/>
        </w:rPr>
      </w:pPr>
      <w:r>
        <w:rPr>
          <w:rFonts w:hint="eastAsia" w:ascii="Times New Roman" w:hAnsi="Times New Roman" w:eastAsia="方正小标宋简体"/>
          <w:sz w:val="44"/>
          <w:szCs w:val="44"/>
        </w:rPr>
        <w:t>道路建设工程</w:t>
      </w:r>
      <w:r>
        <w:rPr>
          <w:rFonts w:hint="eastAsia" w:ascii="方正小标宋简体" w:eastAsia="方正小标宋简体"/>
          <w:sz w:val="44"/>
          <w:szCs w:val="44"/>
        </w:rPr>
        <w:t>项目支出绩效评价报告</w:t>
      </w:r>
    </w:p>
    <w:p>
      <w:pPr>
        <w:jc w:val="center"/>
        <w:rPr>
          <w:rFonts w:ascii="黑体" w:hAnsi="黑体" w:eastAsia="黑体"/>
          <w:sz w:val="32"/>
          <w:szCs w:val="32"/>
          <w:highlight w:val="yellow"/>
        </w:rPr>
      </w:pPr>
    </w:p>
    <w:p>
      <w:pPr>
        <w:jc w:val="center"/>
        <w:rPr>
          <w:rFonts w:ascii="黑体" w:hAnsi="黑体" w:eastAsia="黑体"/>
          <w:sz w:val="32"/>
          <w:szCs w:val="32"/>
        </w:rPr>
      </w:pPr>
      <w:r>
        <w:rPr>
          <w:rFonts w:hint="eastAsia" w:ascii="方正小标宋简体" w:hAnsi="宋体" w:eastAsia="方正小标宋简体" w:cs="黑体"/>
          <w:sz w:val="30"/>
          <w:szCs w:val="30"/>
        </w:rPr>
        <w:t>晋国元审[</w:t>
      </w:r>
      <w:r>
        <w:rPr>
          <w:rFonts w:hint="eastAsia" w:eastAsia="方正小标宋简体" w:cs="黑体"/>
          <w:sz w:val="30"/>
          <w:szCs w:val="30"/>
        </w:rPr>
        <w:t>20</w:t>
      </w:r>
      <w:r>
        <w:rPr>
          <w:rFonts w:hint="eastAsia" w:eastAsia="方正小标宋简体" w:cs="黑体"/>
          <w:sz w:val="30"/>
          <w:szCs w:val="30"/>
          <w:lang w:val="en-US" w:eastAsia="zh-CN"/>
        </w:rPr>
        <w:t>20</w:t>
      </w:r>
      <w:r>
        <w:rPr>
          <w:rFonts w:hint="eastAsia" w:ascii="方正小标宋简体" w:hAnsi="宋体" w:eastAsia="方正小标宋简体" w:cs="黑体"/>
          <w:sz w:val="30"/>
          <w:szCs w:val="30"/>
        </w:rPr>
        <w:t>]第</w:t>
      </w:r>
      <w:r>
        <w:rPr>
          <w:rFonts w:eastAsia="方正小标宋简体" w:cs="黑体"/>
          <w:sz w:val="30"/>
          <w:szCs w:val="30"/>
        </w:rPr>
        <w:t>00</w:t>
      </w:r>
      <w:r>
        <w:rPr>
          <w:rFonts w:hint="eastAsia" w:eastAsia="方正小标宋简体" w:cs="黑体"/>
          <w:sz w:val="30"/>
          <w:szCs w:val="30"/>
          <w:lang w:val="en-US" w:eastAsia="zh-CN"/>
        </w:rPr>
        <w:t>59</w:t>
      </w:r>
      <w:r>
        <w:rPr>
          <w:rFonts w:hint="eastAsia" w:ascii="方正小标宋简体" w:hAnsi="宋体" w:eastAsia="方正小标宋简体" w:cs="黑体"/>
          <w:sz w:val="30"/>
          <w:szCs w:val="30"/>
        </w:rPr>
        <w:t>号</w:t>
      </w:r>
      <w:bookmarkStart w:id="98" w:name="_GoBack"/>
      <w:bookmarkEnd w:id="98"/>
    </w:p>
    <w:p>
      <w:pPr>
        <w:pStyle w:val="2"/>
      </w:pPr>
    </w:p>
    <w:p>
      <w:pPr>
        <w:pStyle w:val="2"/>
      </w:pPr>
    </w:p>
    <w:p>
      <w:pPr>
        <w:pStyle w:val="2"/>
      </w:pPr>
    </w:p>
    <w:p>
      <w:pPr>
        <w:rPr>
          <w:rFonts w:ascii="Times New Roman" w:hAnsi="Times New Roman" w:eastAsia="方正小标宋简体"/>
          <w:sz w:val="32"/>
          <w:szCs w:val="32"/>
        </w:rPr>
      </w:pPr>
      <w:r>
        <w:rPr>
          <w:rFonts w:hint="eastAsia" w:ascii="方正小标宋简体" w:eastAsia="方正小标宋简体"/>
          <w:sz w:val="32"/>
          <w:szCs w:val="32"/>
        </w:rPr>
        <w:t>项目名称：</w:t>
      </w:r>
      <w:r>
        <w:rPr>
          <w:rFonts w:hint="eastAsia" w:ascii="Times New Roman" w:hAnsi="Times New Roman" w:eastAsia="方正小标宋简体"/>
          <w:sz w:val="32"/>
          <w:szCs w:val="32"/>
        </w:rPr>
        <w:t>2019年平陆县圣人涧镇营村村一组至二组</w:t>
      </w:r>
    </w:p>
    <w:p>
      <w:pPr>
        <w:ind w:firstLine="1600" w:firstLineChars="500"/>
        <w:rPr>
          <w:rFonts w:ascii="Times New Roman" w:hAnsi="Times New Roman" w:eastAsia="方正小标宋简体"/>
          <w:sz w:val="32"/>
          <w:szCs w:val="32"/>
        </w:rPr>
      </w:pPr>
      <w:r>
        <w:rPr>
          <w:rFonts w:hint="eastAsia" w:ascii="Times New Roman" w:hAnsi="Times New Roman" w:eastAsia="方正小标宋简体"/>
          <w:sz w:val="32"/>
          <w:szCs w:val="32"/>
        </w:rPr>
        <w:t>道路建设工程项目</w:t>
      </w:r>
    </w:p>
    <w:p>
      <w:pPr>
        <w:rPr>
          <w:rFonts w:ascii="方正小标宋简体" w:eastAsia="方正小标宋简体"/>
          <w:sz w:val="32"/>
          <w:szCs w:val="32"/>
        </w:rPr>
      </w:pPr>
      <w:r>
        <w:rPr>
          <w:rFonts w:hint="eastAsia" w:ascii="方正小标宋简体" w:eastAsia="方正小标宋简体"/>
          <w:sz w:val="32"/>
          <w:szCs w:val="32"/>
        </w:rPr>
        <w:t>实施单位：平陆县圣人涧镇人民政府</w:t>
      </w:r>
      <w:r>
        <w:rPr>
          <w:rFonts w:ascii="方正小标宋简体" w:eastAsia="方正小标宋简体"/>
          <w:sz w:val="32"/>
          <w:szCs w:val="32"/>
        </w:rPr>
        <w:t xml:space="preserve"> </w:t>
      </w:r>
    </w:p>
    <w:p>
      <w:pPr>
        <w:rPr>
          <w:rFonts w:ascii="方正小标宋简体" w:eastAsia="方正小标宋简体"/>
          <w:sz w:val="32"/>
          <w:szCs w:val="32"/>
        </w:rPr>
      </w:pPr>
      <w:r>
        <w:rPr>
          <w:rFonts w:hint="eastAsia" w:ascii="方正小标宋简体" w:eastAsia="方正小标宋简体"/>
          <w:sz w:val="32"/>
          <w:szCs w:val="32"/>
        </w:rPr>
        <w:t>委托单位：平陆县财政局</w:t>
      </w:r>
    </w:p>
    <w:p>
      <w:pPr>
        <w:rPr>
          <w:rFonts w:ascii="方正小标宋简体" w:eastAsia="方正小标宋简体"/>
          <w:sz w:val="32"/>
          <w:szCs w:val="32"/>
        </w:rPr>
      </w:pPr>
      <w:r>
        <w:rPr>
          <w:rFonts w:hint="eastAsia" w:ascii="方正小标宋简体" w:eastAsia="方正小标宋简体"/>
          <w:sz w:val="32"/>
          <w:szCs w:val="32"/>
        </w:rPr>
        <w:t>评价机构：山西国元会计师事务所（有限公司）</w:t>
      </w:r>
    </w:p>
    <w:p>
      <w:pPr>
        <w:pStyle w:val="2"/>
      </w:pPr>
    </w:p>
    <w:p>
      <w:pPr>
        <w:jc w:val="center"/>
        <w:rPr>
          <w:rFonts w:ascii="黑体" w:hAnsi="黑体" w:eastAsia="黑体" w:cs="方正小标宋简体"/>
          <w:sz w:val="32"/>
          <w:szCs w:val="32"/>
        </w:rPr>
        <w:sectPr>
          <w:headerReference r:id="rId3" w:type="default"/>
          <w:headerReference r:id="rId4" w:type="even"/>
          <w:pgSz w:w="11906" w:h="16838"/>
          <w:pgMar w:top="2098" w:right="1531" w:bottom="1985" w:left="1531" w:header="851" w:footer="992" w:gutter="0"/>
          <w:cols w:space="425" w:num="1"/>
          <w:docGrid w:linePitch="312" w:charSpace="0"/>
        </w:sectPr>
      </w:pPr>
      <w:r>
        <w:rPr>
          <w:rFonts w:hint="eastAsia" w:ascii="黑体" w:hAnsi="黑体" w:eastAsia="黑体"/>
          <w:sz w:val="32"/>
        </w:rPr>
        <w:t>二〇二〇</w:t>
      </w:r>
      <w:r>
        <w:rPr>
          <w:rFonts w:hint="eastAsia" w:ascii="黑体" w:hAnsi="黑体" w:eastAsia="黑体" w:cs="方正小标宋简体"/>
          <w:sz w:val="32"/>
        </w:rPr>
        <w:t>年十月</w:t>
      </w:r>
    </w:p>
    <w:p>
      <w:pPr>
        <w:rPr>
          <w:rFonts w:ascii="仿宋" w:hAnsi="仿宋" w:eastAsia="仿宋_GB2312"/>
          <w:sz w:val="32"/>
          <w:szCs w:val="32"/>
        </w:rPr>
      </w:pPr>
    </w:p>
    <w:p>
      <w:pPr>
        <w:rPr>
          <w:rFonts w:ascii="仿宋" w:hAnsi="仿宋" w:eastAsia="仿宋_GB2312"/>
          <w:sz w:val="32"/>
          <w:szCs w:val="32"/>
        </w:rPr>
        <w:sectPr>
          <w:pgSz w:w="11906" w:h="16838"/>
          <w:pgMar w:top="2098" w:right="1531" w:bottom="1985" w:left="1531" w:header="851" w:footer="992" w:gutter="0"/>
          <w:cols w:space="425" w:num="1"/>
          <w:docGrid w:linePitch="312" w:charSpace="0"/>
        </w:sectPr>
      </w:pPr>
    </w:p>
    <w:p>
      <w:pPr>
        <w:spacing w:line="560" w:lineRule="exact"/>
        <w:jc w:val="center"/>
        <w:rPr>
          <w:rFonts w:ascii="方正小标宋简体" w:hAnsi="黑体" w:eastAsia="方正小标宋简体" w:cs="黑体"/>
          <w:bCs/>
          <w:sz w:val="44"/>
          <w:szCs w:val="44"/>
        </w:rPr>
      </w:pPr>
      <w:r>
        <w:rPr>
          <w:rFonts w:hint="eastAsia" w:ascii="方正小标宋简体" w:hAnsi="黑体" w:eastAsia="方正小标宋简体" w:cs="黑体"/>
          <w:bCs/>
          <w:sz w:val="44"/>
          <w:szCs w:val="44"/>
        </w:rPr>
        <w:t>目  录</w:t>
      </w:r>
    </w:p>
    <w:p>
      <w:pPr>
        <w:spacing w:line="560" w:lineRule="exact"/>
        <w:rPr>
          <w:rFonts w:ascii="仿宋" w:hAnsi="仿宋" w:eastAsia="仿宋" w:cs="仿宋"/>
          <w:bCs/>
          <w:sz w:val="28"/>
          <w:szCs w:val="28"/>
        </w:rPr>
      </w:pPr>
    </w:p>
    <w:p>
      <w:pPr>
        <w:pStyle w:val="14"/>
        <w:keepNext w:val="0"/>
        <w:keepLines w:val="0"/>
        <w:pageBreakBefore w:val="0"/>
        <w:tabs>
          <w:tab w:val="right" w:leader="dot" w:pos="8844"/>
        </w:tabs>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rPr>
        <w:fldChar w:fldCharType="begin"/>
      </w:r>
      <w:r>
        <w:rPr>
          <w:rFonts w:hint="eastAsia" w:ascii="仿宋_GB2312" w:hAnsi="仿宋_GB2312" w:eastAsia="仿宋_GB2312" w:cs="仿宋_GB2312"/>
          <w:sz w:val="32"/>
          <w:szCs w:val="32"/>
          <w:highlight w:val="yellow"/>
        </w:rPr>
        <w:instrText xml:space="preserve">TOC \o "1-3" \h \u </w:instrText>
      </w:r>
      <w:r>
        <w:rPr>
          <w:rFonts w:hint="eastAsia" w:ascii="仿宋_GB2312" w:hAnsi="仿宋_GB2312" w:eastAsia="仿宋_GB2312" w:cs="仿宋_GB2312"/>
          <w:sz w:val="32"/>
          <w:szCs w:val="32"/>
          <w:highlight w:val="yellow"/>
        </w:rPr>
        <w:fldChar w:fldCharType="separate"/>
      </w:r>
      <w:r>
        <w:rPr>
          <w:rFonts w:hint="eastAsia" w:ascii="仿宋_GB2312" w:hAnsi="仿宋_GB2312" w:eastAsia="仿宋_GB2312" w:cs="仿宋_GB2312"/>
          <w:sz w:val="32"/>
          <w:szCs w:val="32"/>
          <w:highlight w:val="yellow"/>
        </w:rPr>
        <w:fldChar w:fldCharType="begin"/>
      </w:r>
      <w:r>
        <w:rPr>
          <w:rFonts w:hint="eastAsia" w:ascii="仿宋_GB2312" w:hAnsi="仿宋_GB2312" w:eastAsia="仿宋_GB2312" w:cs="仿宋_GB2312"/>
          <w:sz w:val="32"/>
          <w:szCs w:val="32"/>
          <w:highlight w:val="yellow"/>
        </w:rPr>
        <w:instrText xml:space="preserve"> HYPERLINK \l _Toc26029 </w:instrText>
      </w:r>
      <w:r>
        <w:rPr>
          <w:rFonts w:hint="eastAsia" w:ascii="仿宋_GB2312" w:hAnsi="仿宋_GB2312" w:eastAsia="仿宋_GB2312" w:cs="仿宋_GB2312"/>
          <w:sz w:val="32"/>
          <w:szCs w:val="32"/>
          <w:highlight w:val="yellow"/>
        </w:rPr>
        <w:fldChar w:fldCharType="separate"/>
      </w:r>
      <w:r>
        <w:rPr>
          <w:rFonts w:hint="eastAsia" w:ascii="仿宋_GB2312" w:hAnsi="仿宋_GB2312" w:eastAsia="仿宋_GB2312" w:cs="仿宋_GB2312"/>
          <w:sz w:val="32"/>
          <w:szCs w:val="32"/>
        </w:rPr>
        <w:t>摘    要</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_Toc26029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rPr>
        <w:fldChar w:fldCharType="begin"/>
      </w:r>
      <w:r>
        <w:rPr>
          <w:rFonts w:hint="eastAsia" w:ascii="仿宋_GB2312" w:hAnsi="仿宋_GB2312" w:eastAsia="仿宋_GB2312" w:cs="仿宋_GB2312"/>
          <w:sz w:val="32"/>
          <w:szCs w:val="32"/>
          <w:highlight w:val="yellow"/>
        </w:rPr>
        <w:instrText xml:space="preserve"> HYPERLINK \l _Toc15370 </w:instrText>
      </w:r>
      <w:r>
        <w:rPr>
          <w:rFonts w:hint="eastAsia" w:ascii="仿宋_GB2312" w:hAnsi="仿宋_GB2312" w:eastAsia="仿宋_GB2312" w:cs="仿宋_GB2312"/>
          <w:sz w:val="32"/>
          <w:szCs w:val="32"/>
          <w:highlight w:val="yellow"/>
        </w:rPr>
        <w:fldChar w:fldCharType="separate"/>
      </w:r>
      <w:r>
        <w:rPr>
          <w:rFonts w:hint="eastAsia" w:ascii="仿宋_GB2312" w:hAnsi="仿宋_GB2312" w:eastAsia="仿宋_GB2312" w:cs="仿宋_GB2312"/>
          <w:sz w:val="32"/>
          <w:szCs w:val="32"/>
        </w:rPr>
        <w:t>一、项目基本情况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_Toc15370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rPr>
        <w:fldChar w:fldCharType="end"/>
      </w:r>
    </w:p>
    <w:p>
      <w:pPr>
        <w:pStyle w:val="16"/>
        <w:keepNext w:val="0"/>
        <w:keepLines w:val="0"/>
        <w:pageBreakBefore w:val="0"/>
        <w:tabs>
          <w:tab w:val="right" w:leader="dot" w:pos="8844"/>
        </w:tabs>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rPr>
        <w:fldChar w:fldCharType="begin"/>
      </w:r>
      <w:r>
        <w:rPr>
          <w:rFonts w:hint="eastAsia" w:ascii="仿宋_GB2312" w:hAnsi="仿宋_GB2312" w:eastAsia="仿宋_GB2312" w:cs="仿宋_GB2312"/>
          <w:sz w:val="32"/>
          <w:szCs w:val="32"/>
          <w:highlight w:val="yellow"/>
        </w:rPr>
        <w:instrText xml:space="preserve"> HYPERLINK \l _Toc4724 </w:instrText>
      </w:r>
      <w:r>
        <w:rPr>
          <w:rFonts w:hint="eastAsia" w:ascii="仿宋_GB2312" w:hAnsi="仿宋_GB2312" w:eastAsia="仿宋_GB2312" w:cs="仿宋_GB2312"/>
          <w:sz w:val="32"/>
          <w:szCs w:val="32"/>
          <w:highlight w:val="yellow"/>
        </w:rPr>
        <w:fldChar w:fldCharType="separate"/>
      </w:r>
      <w:r>
        <w:rPr>
          <w:rFonts w:hint="eastAsia" w:ascii="仿宋_GB2312" w:hAnsi="仿宋_GB2312" w:eastAsia="仿宋_GB2312" w:cs="仿宋_GB2312"/>
          <w:sz w:val="32"/>
          <w:szCs w:val="32"/>
        </w:rPr>
        <w:t>（一）项目概况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_Toc4724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rPr>
        <w:fldChar w:fldCharType="end"/>
      </w:r>
    </w:p>
    <w:p>
      <w:pPr>
        <w:pStyle w:val="16"/>
        <w:keepNext w:val="0"/>
        <w:keepLines w:val="0"/>
        <w:pageBreakBefore w:val="0"/>
        <w:tabs>
          <w:tab w:val="right" w:leader="dot" w:pos="8844"/>
        </w:tabs>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rPr>
        <w:fldChar w:fldCharType="begin"/>
      </w:r>
      <w:r>
        <w:rPr>
          <w:rFonts w:hint="eastAsia" w:ascii="仿宋_GB2312" w:hAnsi="仿宋_GB2312" w:eastAsia="仿宋_GB2312" w:cs="仿宋_GB2312"/>
          <w:sz w:val="32"/>
          <w:szCs w:val="32"/>
          <w:highlight w:val="yellow"/>
        </w:rPr>
        <w:instrText xml:space="preserve"> HYPERLINK \l _Toc12769 </w:instrText>
      </w:r>
      <w:r>
        <w:rPr>
          <w:rFonts w:hint="eastAsia" w:ascii="仿宋_GB2312" w:hAnsi="仿宋_GB2312" w:eastAsia="仿宋_GB2312" w:cs="仿宋_GB2312"/>
          <w:sz w:val="32"/>
          <w:szCs w:val="32"/>
          <w:highlight w:val="yellow"/>
        </w:rPr>
        <w:fldChar w:fldCharType="separate"/>
      </w:r>
      <w:r>
        <w:rPr>
          <w:rFonts w:hint="eastAsia" w:ascii="仿宋_GB2312" w:hAnsi="仿宋_GB2312" w:eastAsia="仿宋_GB2312" w:cs="仿宋_GB2312"/>
          <w:sz w:val="32"/>
          <w:szCs w:val="32"/>
        </w:rPr>
        <w:t>（二）项目立项依据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_Toc12769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rPr>
        <w:fldChar w:fldCharType="end"/>
      </w:r>
    </w:p>
    <w:p>
      <w:pPr>
        <w:pStyle w:val="16"/>
        <w:keepNext w:val="0"/>
        <w:keepLines w:val="0"/>
        <w:pageBreakBefore w:val="0"/>
        <w:tabs>
          <w:tab w:val="right" w:leader="dot" w:pos="8844"/>
        </w:tabs>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rPr>
        <w:fldChar w:fldCharType="begin"/>
      </w:r>
      <w:r>
        <w:rPr>
          <w:rFonts w:hint="eastAsia" w:ascii="仿宋_GB2312" w:hAnsi="仿宋_GB2312" w:eastAsia="仿宋_GB2312" w:cs="仿宋_GB2312"/>
          <w:sz w:val="32"/>
          <w:szCs w:val="32"/>
          <w:highlight w:val="yellow"/>
        </w:rPr>
        <w:instrText xml:space="preserve"> HYPERLINK \l _Toc7692 </w:instrText>
      </w:r>
      <w:r>
        <w:rPr>
          <w:rFonts w:hint="eastAsia" w:ascii="仿宋_GB2312" w:hAnsi="仿宋_GB2312" w:eastAsia="仿宋_GB2312" w:cs="仿宋_GB2312"/>
          <w:sz w:val="32"/>
          <w:szCs w:val="32"/>
          <w:highlight w:val="yellow"/>
        </w:rPr>
        <w:fldChar w:fldCharType="separate"/>
      </w:r>
      <w:r>
        <w:rPr>
          <w:rFonts w:hint="eastAsia" w:ascii="仿宋_GB2312" w:hAnsi="仿宋_GB2312" w:eastAsia="仿宋_GB2312" w:cs="仿宋_GB2312"/>
          <w:sz w:val="32"/>
          <w:szCs w:val="32"/>
        </w:rPr>
        <w:t>（三）项目资金来源及使用情况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_Toc7692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rPr>
        <w:fldChar w:fldCharType="end"/>
      </w:r>
    </w:p>
    <w:p>
      <w:pPr>
        <w:pStyle w:val="16"/>
        <w:keepNext w:val="0"/>
        <w:keepLines w:val="0"/>
        <w:pageBreakBefore w:val="0"/>
        <w:tabs>
          <w:tab w:val="right" w:leader="dot" w:pos="8844"/>
        </w:tabs>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rPr>
        <w:fldChar w:fldCharType="begin"/>
      </w:r>
      <w:r>
        <w:rPr>
          <w:rFonts w:hint="eastAsia" w:ascii="仿宋_GB2312" w:hAnsi="仿宋_GB2312" w:eastAsia="仿宋_GB2312" w:cs="仿宋_GB2312"/>
          <w:sz w:val="32"/>
          <w:szCs w:val="32"/>
          <w:highlight w:val="yellow"/>
        </w:rPr>
        <w:instrText xml:space="preserve"> HYPERLINK \l _Toc8933 </w:instrText>
      </w:r>
      <w:r>
        <w:rPr>
          <w:rFonts w:hint="eastAsia" w:ascii="仿宋_GB2312" w:hAnsi="仿宋_GB2312" w:eastAsia="仿宋_GB2312" w:cs="仿宋_GB2312"/>
          <w:sz w:val="32"/>
          <w:szCs w:val="32"/>
          <w:highlight w:val="yellow"/>
        </w:rPr>
        <w:fldChar w:fldCharType="separate"/>
      </w:r>
      <w:r>
        <w:rPr>
          <w:rFonts w:hint="eastAsia" w:ascii="仿宋_GB2312" w:hAnsi="仿宋_GB2312" w:eastAsia="仿宋_GB2312" w:cs="仿宋_GB2312"/>
          <w:bCs/>
          <w:sz w:val="32"/>
          <w:szCs w:val="32"/>
        </w:rPr>
        <w:t>（四）项目实施时间、主体和内容</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_Toc8933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rPr>
        <w:fldChar w:fldCharType="end"/>
      </w:r>
    </w:p>
    <w:p>
      <w:pPr>
        <w:pStyle w:val="16"/>
        <w:keepNext w:val="0"/>
        <w:keepLines w:val="0"/>
        <w:pageBreakBefore w:val="0"/>
        <w:tabs>
          <w:tab w:val="right" w:leader="dot" w:pos="8844"/>
        </w:tabs>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rPr>
        <w:fldChar w:fldCharType="begin"/>
      </w:r>
      <w:r>
        <w:rPr>
          <w:rFonts w:hint="eastAsia" w:ascii="仿宋_GB2312" w:hAnsi="仿宋_GB2312" w:eastAsia="仿宋_GB2312" w:cs="仿宋_GB2312"/>
          <w:sz w:val="32"/>
          <w:szCs w:val="32"/>
          <w:highlight w:val="yellow"/>
        </w:rPr>
        <w:instrText xml:space="preserve"> HYPERLINK \l _Toc32320 </w:instrText>
      </w:r>
      <w:r>
        <w:rPr>
          <w:rFonts w:hint="eastAsia" w:ascii="仿宋_GB2312" w:hAnsi="仿宋_GB2312" w:eastAsia="仿宋_GB2312" w:cs="仿宋_GB2312"/>
          <w:sz w:val="32"/>
          <w:szCs w:val="32"/>
          <w:highlight w:val="yellow"/>
        </w:rPr>
        <w:fldChar w:fldCharType="separate"/>
      </w:r>
      <w:r>
        <w:rPr>
          <w:rFonts w:hint="eastAsia" w:ascii="仿宋_GB2312" w:hAnsi="仿宋_GB2312" w:eastAsia="仿宋_GB2312" w:cs="仿宋_GB2312"/>
          <w:bCs/>
          <w:sz w:val="32"/>
          <w:szCs w:val="32"/>
        </w:rPr>
        <w:t>（五）项目组织和管理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_Toc32320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rPr>
        <w:fldChar w:fldCharType="end"/>
      </w:r>
    </w:p>
    <w:p>
      <w:pPr>
        <w:pStyle w:val="16"/>
        <w:keepNext w:val="0"/>
        <w:keepLines w:val="0"/>
        <w:pageBreakBefore w:val="0"/>
        <w:tabs>
          <w:tab w:val="right" w:leader="dot" w:pos="8844"/>
        </w:tabs>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rPr>
        <w:fldChar w:fldCharType="begin"/>
      </w:r>
      <w:r>
        <w:rPr>
          <w:rFonts w:hint="eastAsia" w:ascii="仿宋_GB2312" w:hAnsi="仿宋_GB2312" w:eastAsia="仿宋_GB2312" w:cs="仿宋_GB2312"/>
          <w:sz w:val="32"/>
          <w:szCs w:val="32"/>
          <w:highlight w:val="yellow"/>
        </w:rPr>
        <w:instrText xml:space="preserve"> HYPERLINK \l _Toc7340 </w:instrText>
      </w:r>
      <w:r>
        <w:rPr>
          <w:rFonts w:hint="eastAsia" w:ascii="仿宋_GB2312" w:hAnsi="仿宋_GB2312" w:eastAsia="仿宋_GB2312" w:cs="仿宋_GB2312"/>
          <w:sz w:val="32"/>
          <w:szCs w:val="32"/>
          <w:highlight w:val="yellow"/>
        </w:rPr>
        <w:fldChar w:fldCharType="separate"/>
      </w:r>
      <w:r>
        <w:rPr>
          <w:rFonts w:hint="eastAsia" w:ascii="仿宋_GB2312" w:hAnsi="仿宋_GB2312" w:eastAsia="仿宋_GB2312" w:cs="仿宋_GB2312"/>
          <w:bCs/>
          <w:sz w:val="32"/>
          <w:szCs w:val="32"/>
        </w:rPr>
        <w:t>（六）项目绩效目标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_Toc7340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rPr>
        <w:fldChar w:fldCharType="begin"/>
      </w:r>
      <w:r>
        <w:rPr>
          <w:rFonts w:hint="eastAsia" w:ascii="仿宋_GB2312" w:hAnsi="仿宋_GB2312" w:eastAsia="仿宋_GB2312" w:cs="仿宋_GB2312"/>
          <w:sz w:val="32"/>
          <w:szCs w:val="32"/>
          <w:highlight w:val="yellow"/>
        </w:rPr>
        <w:instrText xml:space="preserve"> HYPERLINK \l _Toc9564 </w:instrText>
      </w:r>
      <w:r>
        <w:rPr>
          <w:rFonts w:hint="eastAsia" w:ascii="仿宋_GB2312" w:hAnsi="仿宋_GB2312" w:eastAsia="仿宋_GB2312" w:cs="仿宋_GB2312"/>
          <w:sz w:val="32"/>
          <w:szCs w:val="32"/>
          <w:highlight w:val="yellow"/>
        </w:rPr>
        <w:fldChar w:fldCharType="separate"/>
      </w:r>
      <w:r>
        <w:rPr>
          <w:rFonts w:hint="eastAsia" w:ascii="仿宋_GB2312" w:hAnsi="仿宋_GB2312" w:eastAsia="仿宋_GB2312" w:cs="仿宋_GB2312"/>
          <w:sz w:val="32"/>
          <w:szCs w:val="32"/>
        </w:rPr>
        <w:t>二、绩效评价工作开展情况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_Toc9564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rPr>
        <w:fldChar w:fldCharType="end"/>
      </w:r>
    </w:p>
    <w:p>
      <w:pPr>
        <w:pStyle w:val="16"/>
        <w:keepNext w:val="0"/>
        <w:keepLines w:val="0"/>
        <w:pageBreakBefore w:val="0"/>
        <w:tabs>
          <w:tab w:val="right" w:leader="dot" w:pos="8844"/>
        </w:tabs>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rPr>
        <w:fldChar w:fldCharType="begin"/>
      </w:r>
      <w:r>
        <w:rPr>
          <w:rFonts w:hint="eastAsia" w:ascii="仿宋_GB2312" w:hAnsi="仿宋_GB2312" w:eastAsia="仿宋_GB2312" w:cs="仿宋_GB2312"/>
          <w:sz w:val="32"/>
          <w:szCs w:val="32"/>
          <w:highlight w:val="yellow"/>
        </w:rPr>
        <w:instrText xml:space="preserve"> HYPERLINK \l _Toc16161 </w:instrText>
      </w:r>
      <w:r>
        <w:rPr>
          <w:rFonts w:hint="eastAsia" w:ascii="仿宋_GB2312" w:hAnsi="仿宋_GB2312" w:eastAsia="仿宋_GB2312" w:cs="仿宋_GB2312"/>
          <w:sz w:val="32"/>
          <w:szCs w:val="32"/>
          <w:highlight w:val="yellow"/>
        </w:rPr>
        <w:fldChar w:fldCharType="separate"/>
      </w:r>
      <w:r>
        <w:rPr>
          <w:rFonts w:hint="eastAsia" w:ascii="仿宋_GB2312" w:hAnsi="仿宋_GB2312" w:eastAsia="仿宋_GB2312" w:cs="仿宋_GB2312"/>
          <w:sz w:val="32"/>
          <w:szCs w:val="32"/>
        </w:rPr>
        <w:t>（一）绩效评价目的、对象和范围</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_Toc16161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rPr>
        <w:fldChar w:fldCharType="end"/>
      </w:r>
    </w:p>
    <w:p>
      <w:pPr>
        <w:pStyle w:val="16"/>
        <w:keepNext w:val="0"/>
        <w:keepLines w:val="0"/>
        <w:pageBreakBefore w:val="0"/>
        <w:tabs>
          <w:tab w:val="right" w:leader="dot" w:pos="8844"/>
        </w:tabs>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rPr>
        <w:fldChar w:fldCharType="begin"/>
      </w:r>
      <w:r>
        <w:rPr>
          <w:rFonts w:hint="eastAsia" w:ascii="仿宋_GB2312" w:hAnsi="仿宋_GB2312" w:eastAsia="仿宋_GB2312" w:cs="仿宋_GB2312"/>
          <w:sz w:val="32"/>
          <w:szCs w:val="32"/>
          <w:highlight w:val="yellow"/>
        </w:rPr>
        <w:instrText xml:space="preserve"> HYPERLINK \l _Toc30536 </w:instrText>
      </w:r>
      <w:r>
        <w:rPr>
          <w:rFonts w:hint="eastAsia" w:ascii="仿宋_GB2312" w:hAnsi="仿宋_GB2312" w:eastAsia="仿宋_GB2312" w:cs="仿宋_GB2312"/>
          <w:sz w:val="32"/>
          <w:szCs w:val="32"/>
          <w:highlight w:val="yellow"/>
        </w:rPr>
        <w:fldChar w:fldCharType="separate"/>
      </w:r>
      <w:r>
        <w:rPr>
          <w:rFonts w:hint="eastAsia" w:ascii="仿宋_GB2312" w:hAnsi="仿宋_GB2312" w:eastAsia="仿宋_GB2312" w:cs="仿宋_GB2312"/>
          <w:sz w:val="32"/>
          <w:szCs w:val="32"/>
        </w:rPr>
        <w:t>（二）绩效评价原则和方法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_Toc30536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rPr>
        <w:fldChar w:fldCharType="end"/>
      </w:r>
    </w:p>
    <w:p>
      <w:pPr>
        <w:pStyle w:val="16"/>
        <w:keepNext w:val="0"/>
        <w:keepLines w:val="0"/>
        <w:pageBreakBefore w:val="0"/>
        <w:tabs>
          <w:tab w:val="right" w:leader="dot" w:pos="8844"/>
        </w:tabs>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rPr>
        <w:fldChar w:fldCharType="begin"/>
      </w:r>
      <w:r>
        <w:rPr>
          <w:rFonts w:hint="eastAsia" w:ascii="仿宋_GB2312" w:hAnsi="仿宋_GB2312" w:eastAsia="仿宋_GB2312" w:cs="仿宋_GB2312"/>
          <w:sz w:val="32"/>
          <w:szCs w:val="32"/>
          <w:highlight w:val="yellow"/>
        </w:rPr>
        <w:instrText xml:space="preserve"> HYPERLINK \l _Toc7074 </w:instrText>
      </w:r>
      <w:r>
        <w:rPr>
          <w:rFonts w:hint="eastAsia" w:ascii="仿宋_GB2312" w:hAnsi="仿宋_GB2312" w:eastAsia="仿宋_GB2312" w:cs="仿宋_GB2312"/>
          <w:sz w:val="32"/>
          <w:szCs w:val="32"/>
          <w:highlight w:val="yellow"/>
        </w:rPr>
        <w:fldChar w:fldCharType="separate"/>
      </w:r>
      <w:r>
        <w:rPr>
          <w:rFonts w:hint="eastAsia" w:ascii="仿宋_GB2312" w:hAnsi="仿宋_GB2312" w:eastAsia="仿宋_GB2312" w:cs="仿宋_GB2312"/>
          <w:sz w:val="32"/>
          <w:szCs w:val="32"/>
        </w:rPr>
        <w:t>（三）绩效评价指标体系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_Toc7074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rPr>
        <w:fldChar w:fldCharType="end"/>
      </w:r>
    </w:p>
    <w:p>
      <w:pPr>
        <w:pStyle w:val="16"/>
        <w:keepNext w:val="0"/>
        <w:keepLines w:val="0"/>
        <w:pageBreakBefore w:val="0"/>
        <w:tabs>
          <w:tab w:val="right" w:leader="dot" w:pos="8844"/>
        </w:tabs>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rPr>
        <w:fldChar w:fldCharType="begin"/>
      </w:r>
      <w:r>
        <w:rPr>
          <w:rFonts w:hint="eastAsia" w:ascii="仿宋_GB2312" w:hAnsi="仿宋_GB2312" w:eastAsia="仿宋_GB2312" w:cs="仿宋_GB2312"/>
          <w:sz w:val="32"/>
          <w:szCs w:val="32"/>
          <w:highlight w:val="yellow"/>
        </w:rPr>
        <w:instrText xml:space="preserve"> HYPERLINK \l _Toc28820 </w:instrText>
      </w:r>
      <w:r>
        <w:rPr>
          <w:rFonts w:hint="eastAsia" w:ascii="仿宋_GB2312" w:hAnsi="仿宋_GB2312" w:eastAsia="仿宋_GB2312" w:cs="仿宋_GB2312"/>
          <w:sz w:val="32"/>
          <w:szCs w:val="32"/>
          <w:highlight w:val="yellow"/>
        </w:rPr>
        <w:fldChar w:fldCharType="separate"/>
      </w:r>
      <w:r>
        <w:rPr>
          <w:rFonts w:hint="eastAsia" w:ascii="仿宋_GB2312" w:hAnsi="仿宋_GB2312" w:eastAsia="仿宋_GB2312" w:cs="仿宋_GB2312"/>
          <w:bCs/>
          <w:sz w:val="32"/>
          <w:szCs w:val="32"/>
        </w:rPr>
        <w:t>（四）评价依据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_Toc28820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rPr>
        <w:fldChar w:fldCharType="end"/>
      </w:r>
    </w:p>
    <w:p>
      <w:pPr>
        <w:pStyle w:val="16"/>
        <w:keepNext w:val="0"/>
        <w:keepLines w:val="0"/>
        <w:pageBreakBefore w:val="0"/>
        <w:tabs>
          <w:tab w:val="right" w:leader="dot" w:pos="8844"/>
        </w:tabs>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rPr>
        <w:fldChar w:fldCharType="begin"/>
      </w:r>
      <w:r>
        <w:rPr>
          <w:rFonts w:hint="eastAsia" w:ascii="仿宋_GB2312" w:hAnsi="仿宋_GB2312" w:eastAsia="仿宋_GB2312" w:cs="仿宋_GB2312"/>
          <w:sz w:val="32"/>
          <w:szCs w:val="32"/>
          <w:highlight w:val="yellow"/>
        </w:rPr>
        <w:instrText xml:space="preserve"> HYPERLINK \l _Toc29290 </w:instrText>
      </w:r>
      <w:r>
        <w:rPr>
          <w:rFonts w:hint="eastAsia" w:ascii="仿宋_GB2312" w:hAnsi="仿宋_GB2312" w:eastAsia="仿宋_GB2312" w:cs="仿宋_GB2312"/>
          <w:sz w:val="32"/>
          <w:szCs w:val="32"/>
          <w:highlight w:val="yellow"/>
        </w:rPr>
        <w:fldChar w:fldCharType="separate"/>
      </w:r>
      <w:r>
        <w:rPr>
          <w:rFonts w:hint="eastAsia" w:ascii="仿宋_GB2312" w:hAnsi="仿宋_GB2312" w:eastAsia="仿宋_GB2312" w:cs="仿宋_GB2312"/>
          <w:bCs/>
          <w:sz w:val="32"/>
          <w:szCs w:val="32"/>
        </w:rPr>
        <w:t>（五）绩效评价工作过程</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_Toc29290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rPr>
        <w:fldChar w:fldCharType="begin"/>
      </w:r>
      <w:r>
        <w:rPr>
          <w:rFonts w:hint="eastAsia" w:ascii="仿宋_GB2312" w:hAnsi="仿宋_GB2312" w:eastAsia="仿宋_GB2312" w:cs="仿宋_GB2312"/>
          <w:sz w:val="32"/>
          <w:szCs w:val="32"/>
          <w:highlight w:val="yellow"/>
        </w:rPr>
        <w:instrText xml:space="preserve"> HYPERLINK \l _Toc22232 </w:instrText>
      </w:r>
      <w:r>
        <w:rPr>
          <w:rFonts w:hint="eastAsia" w:ascii="仿宋_GB2312" w:hAnsi="仿宋_GB2312" w:eastAsia="仿宋_GB2312" w:cs="仿宋_GB2312"/>
          <w:sz w:val="32"/>
          <w:szCs w:val="32"/>
          <w:highlight w:val="yellow"/>
        </w:rPr>
        <w:fldChar w:fldCharType="separate"/>
      </w:r>
      <w:r>
        <w:rPr>
          <w:rFonts w:hint="eastAsia" w:ascii="仿宋_GB2312" w:hAnsi="仿宋_GB2312" w:eastAsia="仿宋_GB2312" w:cs="仿宋_GB2312"/>
          <w:kern w:val="2"/>
          <w:sz w:val="32"/>
          <w:szCs w:val="32"/>
        </w:rPr>
        <w:t>三、绩效评价指标分析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_Toc22232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rPr>
        <w:fldChar w:fldCharType="end"/>
      </w:r>
    </w:p>
    <w:p>
      <w:pPr>
        <w:pStyle w:val="16"/>
        <w:keepNext w:val="0"/>
        <w:keepLines w:val="0"/>
        <w:pageBreakBefore w:val="0"/>
        <w:tabs>
          <w:tab w:val="right" w:leader="dot" w:pos="8844"/>
        </w:tabs>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rPr>
        <w:fldChar w:fldCharType="begin"/>
      </w:r>
      <w:r>
        <w:rPr>
          <w:rFonts w:hint="eastAsia" w:ascii="仿宋_GB2312" w:hAnsi="仿宋_GB2312" w:eastAsia="仿宋_GB2312" w:cs="仿宋_GB2312"/>
          <w:sz w:val="32"/>
          <w:szCs w:val="32"/>
          <w:highlight w:val="yellow"/>
        </w:rPr>
        <w:instrText xml:space="preserve"> HYPERLINK \l _Toc26602 </w:instrText>
      </w:r>
      <w:r>
        <w:rPr>
          <w:rFonts w:hint="eastAsia" w:ascii="仿宋_GB2312" w:hAnsi="仿宋_GB2312" w:eastAsia="仿宋_GB2312" w:cs="仿宋_GB2312"/>
          <w:sz w:val="32"/>
          <w:szCs w:val="32"/>
          <w:highlight w:val="yellow"/>
        </w:rPr>
        <w:fldChar w:fldCharType="separate"/>
      </w:r>
      <w:r>
        <w:rPr>
          <w:rFonts w:hint="eastAsia" w:ascii="仿宋_GB2312" w:hAnsi="仿宋_GB2312" w:eastAsia="仿宋_GB2312" w:cs="仿宋_GB2312"/>
          <w:bCs/>
          <w:sz w:val="32"/>
          <w:szCs w:val="32"/>
        </w:rPr>
        <w:t>（一）决策类指标分析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_Toc26602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rPr>
        <w:fldChar w:fldCharType="end"/>
      </w:r>
    </w:p>
    <w:p>
      <w:pPr>
        <w:pStyle w:val="16"/>
        <w:keepNext w:val="0"/>
        <w:keepLines w:val="0"/>
        <w:pageBreakBefore w:val="0"/>
        <w:tabs>
          <w:tab w:val="right" w:leader="dot" w:pos="8844"/>
        </w:tabs>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rPr>
        <w:fldChar w:fldCharType="begin"/>
      </w:r>
      <w:r>
        <w:rPr>
          <w:rFonts w:hint="eastAsia" w:ascii="仿宋_GB2312" w:hAnsi="仿宋_GB2312" w:eastAsia="仿宋_GB2312" w:cs="仿宋_GB2312"/>
          <w:sz w:val="32"/>
          <w:szCs w:val="32"/>
          <w:highlight w:val="yellow"/>
        </w:rPr>
        <w:instrText xml:space="preserve"> HYPERLINK \l _Toc17682 </w:instrText>
      </w:r>
      <w:r>
        <w:rPr>
          <w:rFonts w:hint="eastAsia" w:ascii="仿宋_GB2312" w:hAnsi="仿宋_GB2312" w:eastAsia="仿宋_GB2312" w:cs="仿宋_GB2312"/>
          <w:sz w:val="32"/>
          <w:szCs w:val="32"/>
          <w:highlight w:val="yellow"/>
        </w:rPr>
        <w:fldChar w:fldCharType="separate"/>
      </w:r>
      <w:r>
        <w:rPr>
          <w:rFonts w:hint="eastAsia" w:ascii="仿宋_GB2312" w:hAnsi="仿宋_GB2312" w:eastAsia="仿宋_GB2312" w:cs="仿宋_GB2312"/>
          <w:bCs/>
          <w:sz w:val="32"/>
          <w:szCs w:val="32"/>
        </w:rPr>
        <w:t>（二）过程类指标分析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_Toc17682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rPr>
        <w:fldChar w:fldCharType="end"/>
      </w:r>
    </w:p>
    <w:p>
      <w:pPr>
        <w:pStyle w:val="16"/>
        <w:keepNext w:val="0"/>
        <w:keepLines w:val="0"/>
        <w:pageBreakBefore w:val="0"/>
        <w:tabs>
          <w:tab w:val="right" w:leader="dot" w:pos="8844"/>
        </w:tabs>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rPr>
        <w:fldChar w:fldCharType="begin"/>
      </w:r>
      <w:r>
        <w:rPr>
          <w:rFonts w:hint="eastAsia" w:ascii="仿宋_GB2312" w:hAnsi="仿宋_GB2312" w:eastAsia="仿宋_GB2312" w:cs="仿宋_GB2312"/>
          <w:sz w:val="32"/>
          <w:szCs w:val="32"/>
          <w:highlight w:val="yellow"/>
        </w:rPr>
        <w:instrText xml:space="preserve"> HYPERLINK \l _Toc23094 </w:instrText>
      </w:r>
      <w:r>
        <w:rPr>
          <w:rFonts w:hint="eastAsia" w:ascii="仿宋_GB2312" w:hAnsi="仿宋_GB2312" w:eastAsia="仿宋_GB2312" w:cs="仿宋_GB2312"/>
          <w:sz w:val="32"/>
          <w:szCs w:val="32"/>
          <w:highlight w:val="yellow"/>
        </w:rPr>
        <w:fldChar w:fldCharType="separate"/>
      </w:r>
      <w:r>
        <w:rPr>
          <w:rFonts w:hint="eastAsia" w:ascii="仿宋_GB2312" w:hAnsi="仿宋_GB2312" w:eastAsia="仿宋_GB2312" w:cs="仿宋_GB2312"/>
          <w:bCs/>
          <w:sz w:val="32"/>
          <w:szCs w:val="32"/>
        </w:rPr>
        <w:t>（三）产出类指标分析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_Toc23094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rPr>
        <w:fldChar w:fldCharType="end"/>
      </w:r>
    </w:p>
    <w:p>
      <w:pPr>
        <w:pStyle w:val="16"/>
        <w:keepNext w:val="0"/>
        <w:keepLines w:val="0"/>
        <w:pageBreakBefore w:val="0"/>
        <w:tabs>
          <w:tab w:val="right" w:leader="dot" w:pos="8844"/>
        </w:tabs>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rPr>
        <w:fldChar w:fldCharType="begin"/>
      </w:r>
      <w:r>
        <w:rPr>
          <w:rFonts w:hint="eastAsia" w:ascii="仿宋_GB2312" w:hAnsi="仿宋_GB2312" w:eastAsia="仿宋_GB2312" w:cs="仿宋_GB2312"/>
          <w:sz w:val="32"/>
          <w:szCs w:val="32"/>
          <w:highlight w:val="yellow"/>
        </w:rPr>
        <w:instrText xml:space="preserve"> HYPERLINK \l _Toc15330 </w:instrText>
      </w:r>
      <w:r>
        <w:rPr>
          <w:rFonts w:hint="eastAsia" w:ascii="仿宋_GB2312" w:hAnsi="仿宋_GB2312" w:eastAsia="仿宋_GB2312" w:cs="仿宋_GB2312"/>
          <w:sz w:val="32"/>
          <w:szCs w:val="32"/>
          <w:highlight w:val="yellow"/>
        </w:rPr>
        <w:fldChar w:fldCharType="separate"/>
      </w:r>
      <w:r>
        <w:rPr>
          <w:rFonts w:hint="eastAsia" w:ascii="仿宋_GB2312" w:hAnsi="仿宋_GB2312" w:eastAsia="仿宋_GB2312" w:cs="仿宋_GB2312"/>
          <w:bCs/>
          <w:sz w:val="32"/>
          <w:szCs w:val="32"/>
        </w:rPr>
        <w:t>（四）效益类指标分析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_Toc15330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rPr>
        <w:fldChar w:fldCharType="begin"/>
      </w:r>
      <w:r>
        <w:rPr>
          <w:rFonts w:hint="eastAsia" w:ascii="仿宋_GB2312" w:hAnsi="仿宋_GB2312" w:eastAsia="仿宋_GB2312" w:cs="仿宋_GB2312"/>
          <w:sz w:val="32"/>
          <w:szCs w:val="32"/>
          <w:highlight w:val="yellow"/>
        </w:rPr>
        <w:instrText xml:space="preserve"> HYPERLINK \l _Toc32452 </w:instrText>
      </w:r>
      <w:r>
        <w:rPr>
          <w:rFonts w:hint="eastAsia" w:ascii="仿宋_GB2312" w:hAnsi="仿宋_GB2312" w:eastAsia="仿宋_GB2312" w:cs="仿宋_GB2312"/>
          <w:sz w:val="32"/>
          <w:szCs w:val="32"/>
          <w:highlight w:val="yellow"/>
        </w:rPr>
        <w:fldChar w:fldCharType="separate"/>
      </w:r>
      <w:r>
        <w:rPr>
          <w:rFonts w:hint="eastAsia" w:ascii="仿宋_GB2312" w:hAnsi="仿宋_GB2312" w:eastAsia="仿宋_GB2312" w:cs="仿宋_GB2312"/>
          <w:kern w:val="2"/>
          <w:sz w:val="32"/>
          <w:szCs w:val="32"/>
        </w:rPr>
        <w:t>四、评价结论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_Toc32452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rPr>
        <w:fldChar w:fldCharType="begin"/>
      </w:r>
      <w:r>
        <w:rPr>
          <w:rFonts w:hint="eastAsia" w:ascii="仿宋_GB2312" w:hAnsi="仿宋_GB2312" w:eastAsia="仿宋_GB2312" w:cs="仿宋_GB2312"/>
          <w:sz w:val="32"/>
          <w:szCs w:val="32"/>
          <w:highlight w:val="yellow"/>
        </w:rPr>
        <w:instrText xml:space="preserve"> HYPERLINK \l _Toc23775 </w:instrText>
      </w:r>
      <w:r>
        <w:rPr>
          <w:rFonts w:hint="eastAsia" w:ascii="仿宋_GB2312" w:hAnsi="仿宋_GB2312" w:eastAsia="仿宋_GB2312" w:cs="仿宋_GB2312"/>
          <w:sz w:val="32"/>
          <w:szCs w:val="32"/>
          <w:highlight w:val="yellow"/>
        </w:rPr>
        <w:fldChar w:fldCharType="separate"/>
      </w:r>
      <w:r>
        <w:rPr>
          <w:rFonts w:hint="eastAsia" w:ascii="仿宋_GB2312" w:hAnsi="仿宋_GB2312" w:eastAsia="仿宋_GB2312" w:cs="仿宋_GB2312"/>
          <w:kern w:val="2"/>
          <w:sz w:val="32"/>
          <w:szCs w:val="32"/>
        </w:rPr>
        <w:t>五、项目主要绩效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_Toc23775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rPr>
        <w:fldChar w:fldCharType="begin"/>
      </w:r>
      <w:r>
        <w:rPr>
          <w:rFonts w:hint="eastAsia" w:ascii="仿宋_GB2312" w:hAnsi="仿宋_GB2312" w:eastAsia="仿宋_GB2312" w:cs="仿宋_GB2312"/>
          <w:sz w:val="32"/>
          <w:szCs w:val="32"/>
          <w:highlight w:val="yellow"/>
        </w:rPr>
        <w:instrText xml:space="preserve"> HYPERLINK \l _Toc29433 </w:instrText>
      </w:r>
      <w:r>
        <w:rPr>
          <w:rFonts w:hint="eastAsia" w:ascii="仿宋_GB2312" w:hAnsi="仿宋_GB2312" w:eastAsia="仿宋_GB2312" w:cs="仿宋_GB2312"/>
          <w:sz w:val="32"/>
          <w:szCs w:val="32"/>
          <w:highlight w:val="yellow"/>
        </w:rPr>
        <w:fldChar w:fldCharType="separate"/>
      </w:r>
      <w:r>
        <w:rPr>
          <w:rFonts w:hint="eastAsia" w:ascii="仿宋_GB2312" w:hAnsi="仿宋_GB2312" w:eastAsia="仿宋_GB2312" w:cs="仿宋_GB2312"/>
          <w:kern w:val="2"/>
          <w:sz w:val="32"/>
          <w:szCs w:val="32"/>
        </w:rPr>
        <w:t>六、主要经验及做法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_Toc29433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rPr>
        <w:fldChar w:fldCharType="begin"/>
      </w:r>
      <w:r>
        <w:rPr>
          <w:rFonts w:hint="eastAsia" w:ascii="仿宋_GB2312" w:hAnsi="仿宋_GB2312" w:eastAsia="仿宋_GB2312" w:cs="仿宋_GB2312"/>
          <w:sz w:val="32"/>
          <w:szCs w:val="32"/>
          <w:highlight w:val="yellow"/>
        </w:rPr>
        <w:instrText xml:space="preserve"> HYPERLINK \l _Toc29016 </w:instrText>
      </w:r>
      <w:r>
        <w:rPr>
          <w:rFonts w:hint="eastAsia" w:ascii="仿宋_GB2312" w:hAnsi="仿宋_GB2312" w:eastAsia="仿宋_GB2312" w:cs="仿宋_GB2312"/>
          <w:sz w:val="32"/>
          <w:szCs w:val="32"/>
          <w:highlight w:val="yellow"/>
        </w:rPr>
        <w:fldChar w:fldCharType="separate"/>
      </w:r>
      <w:r>
        <w:rPr>
          <w:rFonts w:hint="eastAsia" w:ascii="仿宋_GB2312" w:hAnsi="仿宋_GB2312" w:eastAsia="仿宋_GB2312" w:cs="仿宋_GB2312"/>
          <w:kern w:val="2"/>
          <w:sz w:val="32"/>
          <w:szCs w:val="32"/>
          <w:highlight w:val="none"/>
        </w:rPr>
        <w:t>七、存在的问题</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_Toc29016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rPr>
        <w:fldChar w:fldCharType="begin"/>
      </w:r>
      <w:r>
        <w:rPr>
          <w:rFonts w:hint="eastAsia" w:ascii="仿宋_GB2312" w:hAnsi="仿宋_GB2312" w:eastAsia="仿宋_GB2312" w:cs="仿宋_GB2312"/>
          <w:sz w:val="32"/>
          <w:szCs w:val="32"/>
          <w:highlight w:val="yellow"/>
        </w:rPr>
        <w:instrText xml:space="preserve"> HYPERLINK \l _Toc32356 </w:instrText>
      </w:r>
      <w:r>
        <w:rPr>
          <w:rFonts w:hint="eastAsia" w:ascii="仿宋_GB2312" w:hAnsi="仿宋_GB2312" w:eastAsia="仿宋_GB2312" w:cs="仿宋_GB2312"/>
          <w:sz w:val="32"/>
          <w:szCs w:val="32"/>
          <w:highlight w:val="yellow"/>
        </w:rPr>
        <w:fldChar w:fldCharType="separate"/>
      </w:r>
      <w:r>
        <w:rPr>
          <w:rFonts w:hint="eastAsia" w:ascii="仿宋_GB2312" w:hAnsi="仿宋_GB2312" w:eastAsia="仿宋_GB2312" w:cs="仿宋_GB2312"/>
          <w:kern w:val="2"/>
          <w:sz w:val="32"/>
          <w:szCs w:val="32"/>
          <w:highlight w:val="none"/>
        </w:rPr>
        <w:t>八、改进意见</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_Toc32356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rPr>
        <w:fldChar w:fldCharType="begin"/>
      </w:r>
      <w:r>
        <w:rPr>
          <w:rFonts w:hint="eastAsia" w:ascii="仿宋_GB2312" w:hAnsi="仿宋_GB2312" w:eastAsia="仿宋_GB2312" w:cs="仿宋_GB2312"/>
          <w:sz w:val="32"/>
          <w:szCs w:val="32"/>
          <w:highlight w:val="yellow"/>
        </w:rPr>
        <w:instrText xml:space="preserve"> HYPERLINK \l _Toc8245 </w:instrText>
      </w:r>
      <w:r>
        <w:rPr>
          <w:rFonts w:hint="eastAsia" w:ascii="仿宋_GB2312" w:hAnsi="仿宋_GB2312" w:eastAsia="仿宋_GB2312" w:cs="仿宋_GB2312"/>
          <w:sz w:val="32"/>
          <w:szCs w:val="32"/>
          <w:highlight w:val="yellow"/>
        </w:rPr>
        <w:fldChar w:fldCharType="separate"/>
      </w:r>
      <w:r>
        <w:rPr>
          <w:rFonts w:hint="eastAsia" w:ascii="仿宋_GB2312" w:hAnsi="仿宋_GB2312" w:eastAsia="仿宋_GB2312" w:cs="仿宋_GB2312"/>
          <w:kern w:val="2"/>
          <w:sz w:val="32"/>
          <w:szCs w:val="32"/>
        </w:rPr>
        <w:t>九、绩效评价结果应用建议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_Toc8245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rPr>
        <w:fldChar w:fldCharType="begin"/>
      </w:r>
      <w:r>
        <w:rPr>
          <w:rFonts w:hint="eastAsia" w:ascii="仿宋_GB2312" w:hAnsi="仿宋_GB2312" w:eastAsia="仿宋_GB2312" w:cs="仿宋_GB2312"/>
          <w:sz w:val="32"/>
          <w:szCs w:val="32"/>
          <w:highlight w:val="yellow"/>
        </w:rPr>
        <w:instrText xml:space="preserve"> HYPERLINK \l _Toc31640 </w:instrText>
      </w:r>
      <w:r>
        <w:rPr>
          <w:rFonts w:hint="eastAsia" w:ascii="仿宋_GB2312" w:hAnsi="仿宋_GB2312" w:eastAsia="仿宋_GB2312" w:cs="仿宋_GB2312"/>
          <w:sz w:val="32"/>
          <w:szCs w:val="32"/>
          <w:highlight w:val="yellow"/>
        </w:rPr>
        <w:fldChar w:fldCharType="separate"/>
      </w: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_Toc31640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rPr>
        <w:fldChar w:fldCharType="begin"/>
      </w:r>
      <w:r>
        <w:rPr>
          <w:rFonts w:hint="eastAsia" w:ascii="仿宋_GB2312" w:hAnsi="仿宋_GB2312" w:eastAsia="仿宋_GB2312" w:cs="仿宋_GB2312"/>
          <w:sz w:val="32"/>
          <w:szCs w:val="32"/>
          <w:highlight w:val="yellow"/>
        </w:rPr>
        <w:instrText xml:space="preserve"> HYPERLINK \l _Toc5082 </w:instrText>
      </w:r>
      <w:r>
        <w:rPr>
          <w:rFonts w:hint="eastAsia" w:ascii="仿宋_GB2312" w:hAnsi="仿宋_GB2312" w:eastAsia="仿宋_GB2312" w:cs="仿宋_GB2312"/>
          <w:sz w:val="32"/>
          <w:szCs w:val="32"/>
          <w:highlight w:val="yellow"/>
        </w:rPr>
        <w:fldChar w:fldCharType="separate"/>
      </w:r>
      <w:r>
        <w:rPr>
          <w:rFonts w:hint="eastAsia" w:ascii="仿宋_GB2312" w:hAnsi="仿宋_GB2312" w:eastAsia="仿宋_GB2312" w:cs="仿宋_GB2312"/>
          <w:sz w:val="32"/>
          <w:szCs w:val="32"/>
        </w:rPr>
        <w:t>附件2：</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_Toc5082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rPr>
        <w:fldChar w:fldCharType="begin"/>
      </w:r>
      <w:r>
        <w:rPr>
          <w:rFonts w:hint="eastAsia" w:ascii="仿宋_GB2312" w:hAnsi="仿宋_GB2312" w:eastAsia="仿宋_GB2312" w:cs="仿宋_GB2312"/>
          <w:sz w:val="32"/>
          <w:szCs w:val="32"/>
          <w:highlight w:val="yellow"/>
        </w:rPr>
        <w:instrText xml:space="preserve"> HYPERLINK \l _Toc17664 </w:instrText>
      </w:r>
      <w:r>
        <w:rPr>
          <w:rFonts w:hint="eastAsia" w:ascii="仿宋_GB2312" w:hAnsi="仿宋_GB2312" w:eastAsia="仿宋_GB2312" w:cs="仿宋_GB2312"/>
          <w:sz w:val="32"/>
          <w:szCs w:val="32"/>
          <w:highlight w:val="yellow"/>
        </w:rPr>
        <w:fldChar w:fldCharType="separate"/>
      </w:r>
      <w:r>
        <w:rPr>
          <w:rFonts w:hint="eastAsia" w:ascii="仿宋_GB2312" w:hAnsi="仿宋_GB2312" w:eastAsia="仿宋_GB2312" w:cs="仿宋_GB2312"/>
          <w:sz w:val="32"/>
          <w:szCs w:val="32"/>
        </w:rPr>
        <w:t>附件3：</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_Toc17664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yellow"/>
        </w:rPr>
        <w:fldChar w:fldCharType="begin"/>
      </w:r>
      <w:r>
        <w:rPr>
          <w:rFonts w:hint="eastAsia" w:ascii="仿宋_GB2312" w:hAnsi="仿宋_GB2312" w:eastAsia="仿宋_GB2312" w:cs="仿宋_GB2312"/>
          <w:sz w:val="32"/>
          <w:szCs w:val="32"/>
          <w:highlight w:val="yellow"/>
        </w:rPr>
        <w:instrText xml:space="preserve"> HYPERLINK \l _Toc6206 </w:instrText>
      </w:r>
      <w:r>
        <w:rPr>
          <w:rFonts w:hint="eastAsia" w:ascii="仿宋_GB2312" w:hAnsi="仿宋_GB2312" w:eastAsia="仿宋_GB2312" w:cs="仿宋_GB2312"/>
          <w:sz w:val="32"/>
          <w:szCs w:val="32"/>
          <w:highlight w:val="yellow"/>
        </w:rPr>
        <w:fldChar w:fldCharType="separate"/>
      </w:r>
      <w:r>
        <w:rPr>
          <w:rFonts w:hint="eastAsia" w:ascii="仿宋_GB2312" w:hAnsi="仿宋_GB2312" w:eastAsia="仿宋_GB2312" w:cs="仿宋_GB2312"/>
          <w:sz w:val="32"/>
          <w:szCs w:val="32"/>
        </w:rPr>
        <w:t>附件4：</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_Toc6206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highlight w:val="yellow"/>
        </w:rPr>
        <w:fldChar w:fldCharType="end"/>
      </w:r>
    </w:p>
    <w:p>
      <w:pPr>
        <w:keepNext w:val="0"/>
        <w:keepLines w:val="0"/>
        <w:pageBreakBefore w:val="0"/>
        <w:kinsoku/>
        <w:wordWrap/>
        <w:overflowPunct/>
        <w:topLinePunct w:val="0"/>
        <w:autoSpaceDE/>
        <w:autoSpaceDN/>
        <w:bidi w:val="0"/>
        <w:adjustRightInd/>
        <w:snapToGrid/>
        <w:textAlignment w:val="auto"/>
      </w:pPr>
      <w:r>
        <w:rPr>
          <w:rFonts w:hint="eastAsia" w:ascii="仿宋_GB2312" w:hAnsi="仿宋_GB2312" w:eastAsia="仿宋_GB2312" w:cs="仿宋_GB2312"/>
          <w:sz w:val="32"/>
          <w:szCs w:val="32"/>
          <w:highlight w:val="yellow"/>
        </w:rPr>
        <w:fldChar w:fldCharType="end"/>
      </w:r>
    </w:p>
    <w:p>
      <w:pPr>
        <w:ind w:left="1440" w:leftChars="600"/>
        <w:rPr>
          <w:rFonts w:ascii="仿宋" w:hAnsi="仿宋" w:eastAsia="仿宋"/>
          <w:sz w:val="32"/>
          <w:szCs w:val="36"/>
        </w:rPr>
      </w:pPr>
    </w:p>
    <w:p>
      <w:pPr>
        <w:rPr>
          <w:rFonts w:ascii="黑体" w:hAnsi="黑体" w:eastAsia="黑体"/>
          <w:sz w:val="44"/>
          <w:szCs w:val="44"/>
        </w:rPr>
        <w:sectPr>
          <w:footerReference r:id="rId5" w:type="default"/>
          <w:footerReference r:id="rId6" w:type="even"/>
          <w:pgSz w:w="11906" w:h="16838"/>
          <w:pgMar w:top="2098" w:right="1531" w:bottom="1985" w:left="1531" w:header="851" w:footer="992" w:gutter="0"/>
          <w:pgNumType w:start="1"/>
          <w:cols w:space="425" w:num="1"/>
          <w:docGrid w:linePitch="326" w:charSpace="0"/>
        </w:sectPr>
      </w:pPr>
    </w:p>
    <w:p>
      <w:pPr>
        <w:widowControl w:val="0"/>
        <w:jc w:val="center"/>
        <w:outlineLvl w:val="0"/>
        <w:rPr>
          <w:rFonts w:ascii="黑体" w:hAnsi="黑体" w:eastAsia="黑体" w:cs="黑体"/>
          <w:sz w:val="44"/>
          <w:szCs w:val="44"/>
        </w:rPr>
      </w:pPr>
      <w:bookmarkStart w:id="1" w:name="_Toc13045367"/>
      <w:bookmarkStart w:id="2" w:name="_Toc26029"/>
      <w:r>
        <w:rPr>
          <w:rFonts w:hint="eastAsia" w:ascii="黑体" w:hAnsi="黑体" w:eastAsia="黑体" w:cs="黑体"/>
          <w:sz w:val="44"/>
          <w:szCs w:val="44"/>
        </w:rPr>
        <w:t>摘    要</w:t>
      </w:r>
      <w:bookmarkEnd w:id="1"/>
      <w:bookmarkEnd w:id="2"/>
    </w:p>
    <w:p>
      <w:pPr>
        <w:rPr>
          <w:rFonts w:ascii="方正小标宋简体" w:hAnsi="仿宋" w:eastAsia="方正小标宋简体" w:cs="仿宋"/>
          <w:sz w:val="32"/>
          <w:szCs w:val="32"/>
        </w:rPr>
      </w:pP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受平陆县财政局的委托，山西国元会计师事务所（有限公司）本着客观、科学、规范原则，对</w:t>
      </w:r>
      <w:r>
        <w:rPr>
          <w:rFonts w:hint="eastAsia" w:ascii="Times New Roman" w:hAnsi="Times New Roman" w:eastAsia="仿宋_GB2312" w:cs="仿宋_GB2312"/>
          <w:sz w:val="32"/>
          <w:szCs w:val="32"/>
        </w:rPr>
        <w:t>2019年平陆县圣人涧镇营村村一组至二组道路建设工程项目</w:t>
      </w:r>
      <w:r>
        <w:rPr>
          <w:rFonts w:hint="eastAsia" w:ascii="仿宋_GB2312" w:hAnsi="仿宋_GB2312" w:eastAsia="仿宋_GB2312" w:cs="仿宋_GB2312"/>
          <w:sz w:val="32"/>
          <w:szCs w:val="32"/>
        </w:rPr>
        <w:t>进行了绩效评价。本次绩效评价严格按照《平陆县财政局&lt;关于开展</w:t>
      </w:r>
      <w:r>
        <w:rPr>
          <w:rFonts w:ascii="Times New Roman" w:hAnsi="Times New Roman" w:eastAsia="仿宋_GB2312" w:cs="仿宋_GB2312"/>
          <w:sz w:val="32"/>
          <w:szCs w:val="32"/>
        </w:rPr>
        <w:t>2019</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度财政支出</w:t>
      </w:r>
      <w:r>
        <w:rPr>
          <w:rFonts w:ascii="仿宋_GB2312" w:hAnsi="仿宋_GB2312" w:eastAsia="仿宋_GB2312" w:cs="仿宋_GB2312"/>
          <w:sz w:val="32"/>
          <w:szCs w:val="32"/>
        </w:rPr>
        <w:t>绩效评价</w:t>
      </w:r>
      <w:r>
        <w:rPr>
          <w:rFonts w:hint="eastAsia" w:ascii="仿宋_GB2312" w:hAnsi="仿宋_GB2312" w:eastAsia="仿宋_GB2312" w:cs="仿宋_GB2312"/>
          <w:sz w:val="32"/>
          <w:szCs w:val="32"/>
        </w:rPr>
        <w:t>工作</w:t>
      </w:r>
      <w:r>
        <w:rPr>
          <w:rFonts w:ascii="仿宋_GB2312" w:hAnsi="仿宋_GB2312" w:eastAsia="仿宋_GB2312" w:cs="仿宋_GB2312"/>
          <w:sz w:val="32"/>
          <w:szCs w:val="32"/>
        </w:rPr>
        <w:t>〉的通知》</w:t>
      </w:r>
      <w:r>
        <w:rPr>
          <w:rFonts w:hint="eastAsia" w:ascii="仿宋_GB2312" w:hAnsi="仿宋_GB2312" w:eastAsia="仿宋_GB2312" w:cs="仿宋_GB2312"/>
          <w:sz w:val="32"/>
          <w:szCs w:val="32"/>
        </w:rPr>
        <w:t>(平财绩字〔</w:t>
      </w:r>
      <w:r>
        <w:rPr>
          <w:rFonts w:hint="eastAsia" w:ascii="Times New Roman" w:hAnsi="Times New Roman" w:eastAsia="仿宋_GB2312" w:cs="仿宋_GB2312"/>
          <w:sz w:val="32"/>
          <w:szCs w:val="32"/>
        </w:rPr>
        <w:t>2020</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号)要求进行。</w:t>
      </w:r>
    </w:p>
    <w:p>
      <w:pPr>
        <w:widowControl w:val="0"/>
        <w:tabs>
          <w:tab w:val="right" w:pos="8306"/>
        </w:tabs>
        <w:ind w:firstLine="640" w:firstLineChars="200"/>
        <w:rPr>
          <w:rFonts w:ascii="黑体" w:hAnsi="黑体" w:eastAsia="黑体"/>
          <w:sz w:val="32"/>
          <w:szCs w:val="32"/>
        </w:rPr>
      </w:pPr>
      <w:r>
        <w:rPr>
          <w:rFonts w:hint="eastAsia" w:ascii="黑体" w:hAnsi="黑体" w:eastAsia="黑体"/>
          <w:sz w:val="32"/>
          <w:szCs w:val="32"/>
        </w:rPr>
        <w:t>一、项目名称、金额</w:t>
      </w:r>
    </w:p>
    <w:p>
      <w:pPr>
        <w:widowControl w:val="0"/>
        <w:tabs>
          <w:tab w:val="left" w:pos="5670"/>
        </w:tabs>
        <w:ind w:firstLine="640" w:firstLineChars="200"/>
        <w:rPr>
          <w:rFonts w:ascii="楷体_GB2312" w:hAnsi="仿宋_GB2312" w:eastAsia="楷体_GB2312" w:cs="仿宋_GB2312"/>
          <w:sz w:val="32"/>
          <w:szCs w:val="32"/>
        </w:rPr>
      </w:pPr>
      <w:r>
        <w:rPr>
          <w:rFonts w:hint="eastAsia" w:ascii="楷体_GB2312" w:hAnsi="Times New Roman" w:eastAsia="楷体_GB2312" w:cs="Times New Roman"/>
          <w:sz w:val="32"/>
          <w:szCs w:val="32"/>
        </w:rPr>
        <w:t>（一）</w:t>
      </w:r>
      <w:r>
        <w:rPr>
          <w:rFonts w:hint="eastAsia" w:ascii="楷体_GB2312" w:hAnsi="仿宋_GB2312" w:eastAsia="楷体_GB2312" w:cs="仿宋_GB2312"/>
          <w:sz w:val="32"/>
          <w:szCs w:val="32"/>
        </w:rPr>
        <w:t>项目名称</w:t>
      </w:r>
    </w:p>
    <w:p>
      <w:pPr>
        <w:widowControl w:val="0"/>
        <w:tabs>
          <w:tab w:val="right" w:pos="8306"/>
        </w:tabs>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2019年平陆县圣人涧镇营村村一组至二组道路建设工程项目。</w:t>
      </w:r>
    </w:p>
    <w:p>
      <w:pPr>
        <w:widowControl w:val="0"/>
        <w:tabs>
          <w:tab w:val="left" w:pos="5670"/>
        </w:tabs>
        <w:ind w:firstLine="640" w:firstLineChars="200"/>
        <w:rPr>
          <w:rFonts w:ascii="楷体_GB2312" w:hAnsi="仿宋_GB2312" w:eastAsia="楷体_GB2312" w:cs="仿宋_GB2312"/>
          <w:sz w:val="32"/>
          <w:szCs w:val="32"/>
        </w:rPr>
      </w:pPr>
      <w:r>
        <w:rPr>
          <w:rFonts w:hint="eastAsia" w:ascii="楷体_GB2312" w:hAnsi="Times New Roman" w:eastAsia="楷体_GB2312" w:cs="Times New Roman"/>
          <w:sz w:val="32"/>
          <w:szCs w:val="32"/>
        </w:rPr>
        <w:t>（二）</w:t>
      </w:r>
      <w:r>
        <w:rPr>
          <w:rFonts w:hint="eastAsia" w:ascii="楷体_GB2312" w:hAnsi="仿宋_GB2312" w:eastAsia="楷体_GB2312" w:cs="仿宋_GB2312"/>
          <w:sz w:val="32"/>
          <w:szCs w:val="32"/>
        </w:rPr>
        <w:t>项目金额</w:t>
      </w:r>
    </w:p>
    <w:p>
      <w:pPr>
        <w:widowControl w:val="0"/>
        <w:tabs>
          <w:tab w:val="right" w:pos="8306"/>
        </w:tabs>
        <w:ind w:firstLine="640" w:firstLineChars="200"/>
        <w:rPr>
          <w:rFonts w:ascii="黑体" w:hAnsi="黑体" w:eastAsia="黑体"/>
          <w:sz w:val="32"/>
          <w:szCs w:val="32"/>
        </w:rPr>
      </w:pPr>
      <w:r>
        <w:rPr>
          <w:rFonts w:hint="eastAsia" w:ascii="Times New Roman" w:hAnsi="Times New Roman" w:eastAsia="仿宋_GB2312" w:cs="仿宋_GB2312"/>
          <w:sz w:val="32"/>
          <w:szCs w:val="32"/>
        </w:rPr>
        <w:t>2019年平陆县圣人涧镇营村村一组至二组道路建设工程项目金额140万元。本次绩效评价金额132.12万元。</w:t>
      </w:r>
    </w:p>
    <w:p>
      <w:pPr>
        <w:widowControl w:val="0"/>
        <w:tabs>
          <w:tab w:val="right" w:pos="8306"/>
        </w:tabs>
        <w:ind w:firstLine="640" w:firstLineChars="200"/>
        <w:rPr>
          <w:rFonts w:ascii="黑体" w:hAnsi="黑体" w:eastAsia="黑体"/>
          <w:sz w:val="32"/>
          <w:szCs w:val="32"/>
        </w:rPr>
      </w:pPr>
      <w:r>
        <w:rPr>
          <w:rFonts w:hint="eastAsia" w:ascii="黑体" w:hAnsi="黑体" w:eastAsia="黑体"/>
          <w:sz w:val="32"/>
          <w:szCs w:val="32"/>
        </w:rPr>
        <w:t>二、项目概况、性质</w:t>
      </w:r>
    </w:p>
    <w:p>
      <w:pPr>
        <w:widowControl w:val="0"/>
        <w:tabs>
          <w:tab w:val="left" w:pos="5670"/>
        </w:tabs>
        <w:ind w:firstLine="640" w:firstLineChars="200"/>
        <w:rPr>
          <w:rFonts w:ascii="楷体_GB2312" w:hAnsi="仿宋_GB2312" w:eastAsia="楷体_GB2312" w:cs="仿宋_GB2312"/>
          <w:sz w:val="32"/>
          <w:szCs w:val="32"/>
        </w:rPr>
      </w:pPr>
      <w:r>
        <w:rPr>
          <w:rFonts w:hint="eastAsia" w:ascii="楷体_GB2312" w:hAnsi="Times New Roman" w:eastAsia="楷体_GB2312" w:cs="Times New Roman"/>
          <w:sz w:val="32"/>
          <w:szCs w:val="32"/>
        </w:rPr>
        <w:t>（一）</w:t>
      </w:r>
      <w:r>
        <w:rPr>
          <w:rFonts w:hint="eastAsia" w:ascii="楷体_GB2312" w:hAnsi="仿宋_GB2312" w:eastAsia="楷体_GB2312" w:cs="仿宋_GB2312"/>
          <w:sz w:val="32"/>
          <w:szCs w:val="32"/>
        </w:rPr>
        <w:t>项目概况</w:t>
      </w:r>
    </w:p>
    <w:p>
      <w:pPr>
        <w:pStyle w:val="2"/>
        <w:spacing w:after="0"/>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2015年11月27号至28号，中央扶贫开发工作会议会议通过了《中共中央、国务院关于打赢脱贫攻坚战的决定》。《决定》明确提出：到2020年，稳定实现农村贫困人口不愁吃、不愁穿，义务教育、基本医疗和住房安全有保障。实现贫困地区农民人均可支配收入增长幅度高于全国平均水平，基本公共服务主要领域指标接近全国平均水平。确保我国现行标准下农村贫困人口实现脱贫，贫困县全部摘帽，解决区域性整体贫困。两个“实现”、一个“确保”，是“十三五”期间必须确保完成的脱贫攻坚总体目标。</w:t>
      </w:r>
    </w:p>
    <w:p>
      <w:pPr>
        <w:pStyle w:val="2"/>
        <w:snapToGrid w:val="0"/>
        <w:spacing w:after="0"/>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2016年7月，山西省委、省政府印发《关于坚决打赢全省脱贫攻坚战的实施意见》（晋发〔2016〕23号），《实施意见》突出强调了打赢全省脱贫攻坚战的重大意义和目标任务，提出了“到2020年具备条件的乡镇和建制村通班车，畅通贫困地区内部“微循环”，实现贫困地区交通外通内联、通村畅乡、班车到村、安全便捷”的总体目标，并明确省交通厅和省发改委为交通扶贫行动的牵头单位。</w:t>
      </w:r>
    </w:p>
    <w:p>
      <w:pPr>
        <w:pStyle w:val="2"/>
        <w:spacing w:after="0"/>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2018年5月21日，山西省人民政府办公厅印发《关于深入推进“四好农村路”建设的实施意见》（晋政办发〔2018〕54号），《实施意见》提出,坚持新发展理念和高质量发展要求,以农村公路提档升级为目标，以三大板块、旅游公路建设为重点,以创新体制机制为动力，推动农村公路建设、管理、养护、运营协调发展,推进城乡交通运输一体化发展,为实施乡村振兴、脱贫攻坚和锻造黄河、长城、太行三大旅游板块等重大战略提供交通支撑。坚持五大原则，1、坚持政府主导、社会参与；2、坚持问题导向、突出重点；3、坚持统筹兼顾、协调推进；4、坚持保护生态、安全至上；5、坚持实事求是、效益优先。</w:t>
      </w:r>
    </w:p>
    <w:p>
      <w:pPr>
        <w:pStyle w:val="2"/>
        <w:spacing w:after="0"/>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平陆县是国家级贫困县，全县辖6镇4乡，133个行政村，人口26万人。平陆县营村位于县城北22公里处，2个居民组，共115户286口人，贫困户20户57人，属于贫困村。为贯彻落实《中共中央、国务院关于打赢脱贫攻坚战的决定》（中发〔2015〕34号）、中共山西省委、省政府印发《关于坚决打赢全省脱贫攻坚战的实施意见》（晋发〔2016〕23号）等文件精神，平陆县脱贫攻坚领导小组办公室印发《平陆县脱贫攻坚领导小组办公室关于下达2019年第一批涉农资金整合项目计划及相关立项审批事项的通知》（平脱贫攻坚组办〔2019〕7号），全县整合项目155个，资金20130.15万元，其中：圣人涧镇营村村一组至二组道路建设工程项目1个，项目总投资140万元，主要建设内容为道路建设长4.5公里、宽3.5米、厚18公分。</w:t>
      </w:r>
    </w:p>
    <w:p>
      <w:pPr>
        <w:pStyle w:val="2"/>
        <w:spacing w:after="0"/>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2019年8月，平陆县脱贫攻坚领导小组办公室印发《平陆县脱贫攻坚领导小组办公室&lt;关于下达2019年第七批统筹整合财政资金使用计划&gt;的通知》（平脱贫攻坚组办〔2019〕32号），  下达平陆县统筹整合财政资金132.12万元，用于圣人涧镇营村村一组至二组道路建设长长4.5公里、宽3.5米、厚18公分。建设期2个月，2019年6月25日至2019年8月24日。</w:t>
      </w:r>
    </w:p>
    <w:p>
      <w:pPr>
        <w:widowControl w:val="0"/>
        <w:tabs>
          <w:tab w:val="left" w:pos="5670"/>
        </w:tabs>
        <w:ind w:firstLine="640" w:firstLineChars="200"/>
        <w:rPr>
          <w:rFonts w:ascii="楷体_GB2312" w:hAnsi="仿宋_GB2312" w:eastAsia="楷体_GB2312" w:cs="仿宋_GB2312"/>
          <w:sz w:val="32"/>
          <w:szCs w:val="32"/>
        </w:rPr>
      </w:pPr>
      <w:r>
        <w:rPr>
          <w:rFonts w:hint="eastAsia" w:ascii="楷体_GB2312" w:hAnsi="Times New Roman" w:eastAsia="楷体_GB2312" w:cs="Times New Roman"/>
          <w:sz w:val="32"/>
          <w:szCs w:val="32"/>
        </w:rPr>
        <w:t>（二）</w:t>
      </w:r>
      <w:r>
        <w:rPr>
          <w:rFonts w:hint="eastAsia" w:ascii="楷体_GB2312" w:hAnsi="仿宋_GB2312" w:eastAsia="楷体_GB2312" w:cs="仿宋_GB2312"/>
          <w:sz w:val="32"/>
          <w:szCs w:val="32"/>
        </w:rPr>
        <w:t>项目性质</w:t>
      </w:r>
    </w:p>
    <w:p>
      <w:pPr>
        <w:widowControl w:val="0"/>
        <w:tabs>
          <w:tab w:val="left" w:pos="5670"/>
        </w:tabs>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专项资金。</w:t>
      </w:r>
    </w:p>
    <w:p>
      <w:pPr>
        <w:widowControl w:val="0"/>
        <w:tabs>
          <w:tab w:val="right" w:pos="8306"/>
        </w:tabs>
        <w:ind w:firstLine="640" w:firstLineChars="200"/>
        <w:rPr>
          <w:rFonts w:ascii="黑体" w:hAnsi="黑体" w:eastAsia="黑体"/>
          <w:sz w:val="32"/>
          <w:szCs w:val="32"/>
        </w:rPr>
      </w:pPr>
      <w:r>
        <w:rPr>
          <w:rFonts w:hint="eastAsia" w:ascii="黑体" w:hAnsi="黑体" w:eastAsia="黑体"/>
          <w:sz w:val="32"/>
          <w:szCs w:val="32"/>
        </w:rPr>
        <w:t>三、项目资金收支、结余及结转情况</w:t>
      </w:r>
    </w:p>
    <w:p>
      <w:pPr>
        <w:widowControl w:val="0"/>
        <w:tabs>
          <w:tab w:val="left" w:pos="5670"/>
        </w:tabs>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（一）项目资金收支情况</w:t>
      </w:r>
    </w:p>
    <w:p>
      <w:pPr>
        <w:widowControl w:val="0"/>
        <w:tabs>
          <w:tab w:val="left" w:pos="5670"/>
        </w:tabs>
        <w:ind w:firstLine="640" w:firstLineChars="200"/>
        <w:rPr>
          <w:rFonts w:ascii="楷体_GB2312" w:hAnsi="Times New Roman" w:eastAsia="楷体_GB2312" w:cs="Times New Roman"/>
          <w:sz w:val="32"/>
          <w:szCs w:val="32"/>
        </w:rPr>
      </w:pPr>
      <w:r>
        <w:rPr>
          <w:rFonts w:hint="eastAsia" w:ascii="仿宋_GB2312" w:hAnsi="仿宋_GB2312" w:eastAsia="仿宋_GB2312" w:cs="仿宋_GB2312"/>
          <w:sz w:val="32"/>
          <w:szCs w:val="32"/>
        </w:rPr>
        <w:t>评价组通过查阅平陆县脱贫攻坚领导小组办公室下达项目资金的文件和项目实施单位财务账簿，经核实，</w:t>
      </w:r>
      <w:r>
        <w:rPr>
          <w:rFonts w:hint="eastAsia" w:ascii="Times New Roman" w:hAnsi="Times New Roman" w:eastAsia="仿宋" w:cs="仿宋"/>
          <w:sz w:val="32"/>
          <w:szCs w:val="32"/>
        </w:rPr>
        <w:t>2019</w:t>
      </w:r>
      <w:r>
        <w:rPr>
          <w:rFonts w:hint="eastAsia" w:ascii="仿宋" w:hAnsi="仿宋" w:eastAsia="仿宋" w:cs="仿宋"/>
          <w:sz w:val="32"/>
          <w:szCs w:val="32"/>
        </w:rPr>
        <w:t>年平陆县</w:t>
      </w:r>
      <w:r>
        <w:rPr>
          <w:rFonts w:hint="eastAsia" w:ascii="仿宋_GB2312" w:hAnsi="仿宋_GB2312" w:eastAsia="仿宋_GB2312" w:cs="仿宋_GB2312"/>
          <w:sz w:val="32"/>
          <w:szCs w:val="32"/>
        </w:rPr>
        <w:t>脱贫攻坚领导小组办公室</w:t>
      </w:r>
      <w:r>
        <w:rPr>
          <w:rFonts w:hint="eastAsia" w:ascii="仿宋" w:hAnsi="仿宋" w:eastAsia="仿宋" w:cs="仿宋"/>
          <w:sz w:val="32"/>
          <w:szCs w:val="32"/>
        </w:rPr>
        <w:t>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平陆县脱贫攻坚领导小组办公室&lt;关于下达2019年第七批统筹整合财政资金使用计划&gt;的通知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平脱贫攻坚组办</w:t>
      </w:r>
      <w:r>
        <w:rPr>
          <w:rFonts w:ascii="仿宋_GB2312" w:hAnsi="仿宋_GB2312" w:eastAsia="仿宋_GB2312" w:cs="仿宋_GB2312"/>
          <w:sz w:val="32"/>
          <w:szCs w:val="32"/>
        </w:rPr>
        <w:t>〔</w:t>
      </w:r>
      <w:r>
        <w:rPr>
          <w:rFonts w:ascii="Times New Roman" w:hAnsi="Times New Roman" w:eastAsia="仿宋_GB2312" w:cs="仿宋_GB2312"/>
          <w:sz w:val="32"/>
          <w:szCs w:val="32"/>
        </w:rPr>
        <w:t>201</w:t>
      </w:r>
      <w:r>
        <w:rPr>
          <w:rFonts w:hint="eastAsia" w:ascii="Times New Roman" w:hAnsi="Times New Roman" w:eastAsia="仿宋_GB2312" w:cs="仿宋_GB2312"/>
          <w:sz w:val="32"/>
          <w:szCs w:val="32"/>
        </w:rPr>
        <w:t>9</w:t>
      </w:r>
      <w:r>
        <w:rPr>
          <w:rFonts w:ascii="仿宋_GB2312" w:hAnsi="仿宋_GB2312" w:eastAsia="仿宋_GB2312" w:cs="仿宋_GB2312"/>
          <w:sz w:val="32"/>
          <w:szCs w:val="32"/>
        </w:rPr>
        <w:t>〕</w:t>
      </w:r>
      <w:r>
        <w:rPr>
          <w:rFonts w:hint="eastAsia" w:ascii="Times New Roman" w:hAnsi="Times New Roman" w:eastAsia="仿宋_GB2312" w:cs="仿宋_GB2312"/>
          <w:sz w:val="32"/>
          <w:szCs w:val="32"/>
        </w:rPr>
        <w:t>32</w:t>
      </w:r>
      <w:r>
        <w:rPr>
          <w:rFonts w:ascii="仿宋_GB2312" w:hAnsi="仿宋_GB2312" w:eastAsia="仿宋_GB2312" w:cs="仿宋_GB2312"/>
          <w:sz w:val="32"/>
          <w:szCs w:val="32"/>
        </w:rPr>
        <w:t>号）</w:t>
      </w:r>
      <w:r>
        <w:rPr>
          <w:rFonts w:hint="eastAsia" w:ascii="仿宋_GB2312" w:hAnsi="仿宋_GB2312" w:eastAsia="仿宋_GB2312" w:cs="仿宋_GB2312"/>
          <w:sz w:val="32"/>
          <w:szCs w:val="32"/>
        </w:rPr>
        <w:t>文件，下达预算资金</w:t>
      </w:r>
      <w:r>
        <w:rPr>
          <w:rFonts w:hint="eastAsia" w:ascii="Times New Roman" w:hAnsi="Times New Roman" w:eastAsia="仿宋" w:cs="仿宋"/>
          <w:sz w:val="32"/>
          <w:szCs w:val="32"/>
        </w:rPr>
        <w:t>132.12</w:t>
      </w:r>
      <w:r>
        <w:rPr>
          <w:rFonts w:hint="eastAsia" w:ascii="仿宋_GB2312" w:hAnsi="仿宋_GB2312" w:eastAsia="仿宋_GB2312" w:cs="仿宋_GB2312"/>
          <w:sz w:val="32"/>
          <w:szCs w:val="32"/>
        </w:rPr>
        <w:t>万元</w:t>
      </w:r>
      <w:r>
        <w:rPr>
          <w:rFonts w:hint="eastAsia" w:ascii="仿宋" w:hAnsi="仿宋" w:eastAsia="仿宋" w:cs="仿宋"/>
          <w:sz w:val="32"/>
          <w:szCs w:val="32"/>
        </w:rPr>
        <w:t>，</w:t>
      </w:r>
      <w:r>
        <w:rPr>
          <w:rFonts w:hint="eastAsia" w:ascii="仿宋_GB2312" w:hAnsi="仿宋" w:eastAsia="仿宋_GB2312" w:cs="Times New Roman"/>
          <w:sz w:val="32"/>
          <w:szCs w:val="32"/>
        </w:rPr>
        <w:t>资金到位率为</w:t>
      </w:r>
      <w:r>
        <w:rPr>
          <w:rFonts w:hint="eastAsia" w:ascii="Times New Roman" w:hAnsi="Times New Roman" w:eastAsia="仿宋" w:cs="仿宋"/>
          <w:sz w:val="32"/>
          <w:szCs w:val="32"/>
        </w:rPr>
        <w:t>100</w:t>
      </w:r>
      <w:r>
        <w:rPr>
          <w:rFonts w:hint="eastAsia" w:ascii="仿宋" w:hAnsi="仿宋" w:eastAsia="仿宋" w:cs="仿宋"/>
          <w:sz w:val="32"/>
          <w:szCs w:val="32"/>
        </w:rPr>
        <w:t>%；</w:t>
      </w:r>
      <w:r>
        <w:rPr>
          <w:rFonts w:hint="eastAsia" w:ascii="仿宋_GB2312" w:hAnsi="仿宋" w:eastAsia="仿宋_GB2312" w:cs="仿宋"/>
          <w:sz w:val="32"/>
          <w:szCs w:val="32"/>
        </w:rPr>
        <w:t>实际支出资金</w:t>
      </w:r>
      <w:r>
        <w:rPr>
          <w:rFonts w:hint="eastAsia" w:ascii="Times New Roman" w:hAnsi="Times New Roman" w:eastAsia="仿宋" w:cs="Times New Roman"/>
          <w:sz w:val="32"/>
          <w:szCs w:val="32"/>
        </w:rPr>
        <w:t>117.08</w:t>
      </w:r>
      <w:r>
        <w:rPr>
          <w:rFonts w:hint="eastAsia" w:ascii="仿宋_GB2312" w:hAnsi="仿宋" w:eastAsia="仿宋_GB2312" w:cs="仿宋"/>
          <w:sz w:val="32"/>
          <w:szCs w:val="32"/>
        </w:rPr>
        <w:t>万元，预算执行率为</w:t>
      </w:r>
      <w:r>
        <w:rPr>
          <w:rFonts w:hint="eastAsia" w:ascii="Times New Roman" w:hAnsi="Times New Roman" w:eastAsia="仿宋" w:cs="仿宋"/>
          <w:sz w:val="32"/>
          <w:szCs w:val="32"/>
        </w:rPr>
        <w:t>88.62</w:t>
      </w:r>
      <w:r>
        <w:rPr>
          <w:rFonts w:hint="eastAsia" w:ascii="仿宋" w:hAnsi="仿宋" w:eastAsia="仿宋" w:cs="仿宋"/>
          <w:sz w:val="32"/>
          <w:szCs w:val="32"/>
        </w:rPr>
        <w:t>%。</w:t>
      </w:r>
    </w:p>
    <w:p>
      <w:pPr>
        <w:widowControl w:val="0"/>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（二）资金结余及结转情况</w:t>
      </w:r>
    </w:p>
    <w:p>
      <w:pPr>
        <w:widowControl w:val="0"/>
        <w:tabs>
          <w:tab w:val="left" w:pos="5670"/>
        </w:tabs>
        <w:ind w:firstLine="640" w:firstLineChars="200"/>
        <w:rPr>
          <w:rFonts w:ascii="楷体_GB2312" w:hAnsi="Times New Roman" w:eastAsia="楷体_GB2312" w:cs="Times New Roman"/>
          <w:sz w:val="32"/>
          <w:szCs w:val="32"/>
        </w:rPr>
      </w:pPr>
      <w:r>
        <w:rPr>
          <w:rFonts w:hint="eastAsia" w:ascii="仿宋_GB2312" w:hAnsi="仿宋_GB2312" w:eastAsia="仿宋_GB2312" w:cs="仿宋_GB2312"/>
          <w:sz w:val="32"/>
          <w:szCs w:val="32"/>
        </w:rPr>
        <w:t>项目结余资金</w:t>
      </w:r>
      <w:r>
        <w:rPr>
          <w:rFonts w:hint="eastAsia" w:ascii="Times New Roman" w:hAnsi="Times New Roman" w:eastAsia="仿宋" w:cs="仿宋"/>
          <w:sz w:val="32"/>
          <w:szCs w:val="32"/>
        </w:rPr>
        <w:t>15.04</w:t>
      </w:r>
      <w:r>
        <w:rPr>
          <w:rFonts w:hint="eastAsia" w:ascii="仿宋_GB2312" w:hAnsi="仿宋_GB2312" w:eastAsia="仿宋_GB2312" w:cs="仿宋_GB2312"/>
          <w:sz w:val="32"/>
          <w:szCs w:val="32"/>
        </w:rPr>
        <w:t>万元。对结余的资金结转下年按原用途使用。</w:t>
      </w:r>
    </w:p>
    <w:p>
      <w:pPr>
        <w:widowControl w:val="0"/>
        <w:tabs>
          <w:tab w:val="right" w:pos="8306"/>
        </w:tabs>
        <w:ind w:firstLine="640" w:firstLineChars="200"/>
        <w:rPr>
          <w:rFonts w:ascii="黑体" w:hAnsi="黑体" w:eastAsia="黑体"/>
          <w:sz w:val="32"/>
          <w:szCs w:val="32"/>
        </w:rPr>
      </w:pPr>
      <w:r>
        <w:rPr>
          <w:rFonts w:hint="eastAsia" w:ascii="黑体" w:hAnsi="黑体" w:eastAsia="黑体"/>
          <w:sz w:val="32"/>
          <w:szCs w:val="32"/>
        </w:rPr>
        <w:t>四、绩效目标</w:t>
      </w:r>
    </w:p>
    <w:p>
      <w:pPr>
        <w:widowControl w:val="0"/>
        <w:tabs>
          <w:tab w:val="left" w:pos="5670"/>
        </w:tabs>
        <w:ind w:firstLine="640" w:firstLineChars="200"/>
        <w:rPr>
          <w:rFonts w:ascii="楷体_GB2312" w:hAnsi="仿宋_GB2312" w:eastAsia="楷体_GB2312" w:cs="仿宋_GB2312"/>
          <w:sz w:val="32"/>
          <w:szCs w:val="32"/>
        </w:rPr>
      </w:pPr>
      <w:r>
        <w:rPr>
          <w:rFonts w:hint="eastAsia" w:ascii="楷体_GB2312" w:hAnsi="Times New Roman" w:eastAsia="楷体_GB2312" w:cs="Times New Roman"/>
          <w:sz w:val="32"/>
          <w:szCs w:val="32"/>
        </w:rPr>
        <w:t>（一）</w:t>
      </w:r>
      <w:r>
        <w:rPr>
          <w:rFonts w:hint="eastAsia" w:ascii="楷体_GB2312" w:hAnsi="仿宋_GB2312" w:eastAsia="楷体_GB2312" w:cs="仿宋_GB2312"/>
          <w:sz w:val="32"/>
          <w:szCs w:val="32"/>
        </w:rPr>
        <w:t>总体目标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通过项目实施，解决农产品收获后的运输问题，改善贫困村村民出行条件和生产生活条件，为全面建成小康社会提供有力的交通运输保障。</w:t>
      </w:r>
    </w:p>
    <w:p>
      <w:pPr>
        <w:ind w:firstLine="640" w:firstLineChars="200"/>
        <w:rPr>
          <w:rFonts w:ascii="楷体_GB2312" w:hAnsi="仿宋_GB2312" w:eastAsia="楷体_GB2312" w:cs="仿宋_GB2312"/>
          <w:sz w:val="32"/>
          <w:szCs w:val="32"/>
        </w:rPr>
      </w:pPr>
      <w:r>
        <w:rPr>
          <w:rFonts w:hint="eastAsia" w:ascii="楷体_GB2312" w:hAnsi="Times New Roman" w:eastAsia="楷体_GB2312" w:cs="Times New Roman"/>
          <w:sz w:val="32"/>
          <w:szCs w:val="32"/>
        </w:rPr>
        <w:t>（二）</w:t>
      </w:r>
      <w:r>
        <w:rPr>
          <w:rFonts w:hint="eastAsia" w:ascii="楷体_GB2312" w:hAnsi="仿宋_GB2312" w:eastAsia="楷体_GB2312" w:cs="仿宋_GB2312"/>
          <w:sz w:val="32"/>
          <w:szCs w:val="32"/>
        </w:rPr>
        <w:t>具体目标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产出类目标：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）完成道路建设工程：硬化道路</w:t>
      </w:r>
      <w:r>
        <w:rPr>
          <w:rFonts w:hint="eastAsia" w:ascii="Times New Roman" w:hAnsi="Times New Roman" w:eastAsia="仿宋_GB2312" w:cs="仿宋_GB2312"/>
          <w:sz w:val="32"/>
          <w:szCs w:val="32"/>
        </w:rPr>
        <w:t>4.5</w:t>
      </w:r>
      <w:r>
        <w:rPr>
          <w:rFonts w:hint="eastAsia" w:ascii="仿宋_GB2312" w:hAnsi="仿宋_GB2312" w:eastAsia="仿宋_GB2312" w:cs="仿宋_GB2312"/>
          <w:sz w:val="32"/>
          <w:szCs w:val="32"/>
        </w:rPr>
        <w:t>公里，宽</w:t>
      </w:r>
      <w:r>
        <w:rPr>
          <w:rFonts w:hint="eastAsia" w:ascii="Times New Roman" w:hAnsi="Times New Roman" w:eastAsia="仿宋_GB2312" w:cs="仿宋_GB2312"/>
          <w:sz w:val="32"/>
          <w:szCs w:val="32"/>
        </w:rPr>
        <w:t>3.5</w:t>
      </w:r>
      <w:r>
        <w:rPr>
          <w:rFonts w:hint="eastAsia" w:ascii="仿宋_GB2312" w:hAnsi="仿宋_GB2312" w:eastAsia="仿宋_GB2312" w:cs="仿宋_GB2312"/>
          <w:sz w:val="32"/>
          <w:szCs w:val="32"/>
        </w:rPr>
        <w:t>米，厚</w:t>
      </w:r>
      <w:r>
        <w:rPr>
          <w:rFonts w:hint="eastAsia" w:ascii="Times New Roman" w:hAnsi="Times New Roman" w:eastAsia="仿宋_GB2312" w:cs="仿宋_GB2312"/>
          <w:sz w:val="32"/>
          <w:szCs w:val="32"/>
        </w:rPr>
        <w:t>18</w:t>
      </w:r>
      <w:r>
        <w:rPr>
          <w:rFonts w:hint="eastAsia" w:ascii="仿宋_GB2312" w:hAnsi="仿宋_GB2312" w:eastAsia="仿宋_GB2312" w:cs="仿宋_GB2312"/>
          <w:sz w:val="32"/>
          <w:szCs w:val="32"/>
        </w:rPr>
        <w:t>公分；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）道路建设补助标准：每公里补助</w:t>
      </w:r>
      <w:r>
        <w:rPr>
          <w:rFonts w:hint="eastAsia" w:ascii="Times New Roman" w:hAnsi="Times New Roman" w:eastAsia="仿宋_GB2312" w:cs="仿宋_GB2312"/>
          <w:sz w:val="32"/>
          <w:szCs w:val="32"/>
        </w:rPr>
        <w:t>31.1</w:t>
      </w:r>
      <w:r>
        <w:rPr>
          <w:rFonts w:hint="eastAsia" w:ascii="仿宋_GB2312" w:hAnsi="仿宋_GB2312" w:eastAsia="仿宋_GB2312" w:cs="仿宋_GB2312"/>
          <w:sz w:val="32"/>
          <w:szCs w:val="32"/>
        </w:rPr>
        <w:t>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）项目验收合格率达到</w:t>
      </w:r>
      <w:r>
        <w:rPr>
          <w:rFonts w:hint="eastAsia" w:ascii="Times New Roman" w:hAnsi="Times New Roman" w:eastAsia="仿宋_GB2312" w:cs="仿宋_GB2312"/>
          <w:sz w:val="32"/>
          <w:szCs w:val="32"/>
        </w:rPr>
        <w:t>1</w:t>
      </w:r>
      <w:r>
        <w:rPr>
          <w:rFonts w:ascii="Times New Roman" w:hAnsi="Times New Roman" w:eastAsia="仿宋_GB2312" w:cs="仿宋_GB2312"/>
          <w:sz w:val="32"/>
          <w:szCs w:val="32"/>
        </w:rPr>
        <w:t>00</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rPr>
        <w:t>）项目于</w:t>
      </w:r>
      <w:r>
        <w:rPr>
          <w:rFonts w:hint="eastAsia" w:ascii="Times New Roman" w:hAnsi="Times New Roman" w:eastAsia="仿宋_GB2312" w:cs="仿宋_GB2312"/>
          <w:sz w:val="32"/>
          <w:szCs w:val="32"/>
        </w:rPr>
        <w:t>2019年8月24日</w:t>
      </w:r>
      <w:r>
        <w:rPr>
          <w:rFonts w:hint="eastAsia" w:ascii="仿宋_GB2312" w:hAnsi="仿宋_GB2312" w:eastAsia="仿宋_GB2312" w:cs="仿宋_GB2312"/>
          <w:sz w:val="32"/>
          <w:szCs w:val="32"/>
        </w:rPr>
        <w:t>完成建设</w:t>
      </w:r>
      <w:r>
        <w:rPr>
          <w:rFonts w:hint="eastAsia" w:ascii="Times New Roman" w:hAnsi="Times New Roman"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）项目成本节约率</w:t>
      </w:r>
      <w:r>
        <w:rPr>
          <w:rFonts w:hint="eastAsia" w:ascii="Times New Roman" w:hAnsi="Times New Roman" w:eastAsia="仿宋_GB2312" w:cs="仿宋_GB2312"/>
          <w:sz w:val="32"/>
          <w:szCs w:val="32"/>
        </w:rPr>
        <w:t>100</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效益类目标：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w:t>
      </w:r>
      <w:r>
        <w:rPr>
          <w:rFonts w:hint="eastAsia" w:ascii="仿宋" w:hAnsi="仿宋" w:eastAsia="仿宋_GB2312"/>
          <w:sz w:val="32"/>
          <w:szCs w:val="32"/>
        </w:rPr>
        <w:t>带动地方经济发展；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w:t>
      </w:r>
      <w:r>
        <w:rPr>
          <w:rFonts w:hint="eastAsia" w:ascii="仿宋" w:hAnsi="仿宋" w:eastAsia="仿宋_GB2312"/>
          <w:sz w:val="32"/>
          <w:szCs w:val="32"/>
        </w:rPr>
        <w:t>解决村民出行难题；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w:t>
      </w:r>
      <w:r>
        <w:rPr>
          <w:rFonts w:hint="eastAsia" w:ascii="仿宋" w:hAnsi="仿宋" w:eastAsia="仿宋_GB2312"/>
          <w:sz w:val="32"/>
          <w:szCs w:val="32"/>
        </w:rPr>
        <w:t>改善农民生产生活条件；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rPr>
        <w:t>）</w:t>
      </w:r>
      <w:r>
        <w:rPr>
          <w:rFonts w:hint="eastAsia" w:ascii="仿宋" w:hAnsi="仿宋" w:eastAsia="仿宋_GB2312"/>
          <w:sz w:val="32"/>
          <w:szCs w:val="32"/>
        </w:rPr>
        <w:t>工程使用年限达到</w:t>
      </w:r>
      <w:r>
        <w:rPr>
          <w:rFonts w:hint="eastAsia" w:ascii="Times New Roman" w:hAnsi="Times New Roman" w:eastAsia="仿宋" w:cs="仿宋"/>
          <w:sz w:val="32"/>
          <w:szCs w:val="32"/>
        </w:rPr>
        <w:t>25</w:t>
      </w:r>
      <w:r>
        <w:rPr>
          <w:rFonts w:hint="eastAsia" w:ascii="仿宋" w:hAnsi="仿宋" w:eastAsia="仿宋_GB2312"/>
          <w:sz w:val="32"/>
          <w:szCs w:val="32"/>
        </w:rPr>
        <w:t>年（含）以上；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）受益村民满意度达</w:t>
      </w:r>
      <w:r>
        <w:rPr>
          <w:rFonts w:hint="eastAsia" w:ascii="Times New Roman" w:hAnsi="Times New Roman" w:eastAsia="仿宋_GB2312" w:cs="仿宋_GB2312"/>
          <w:sz w:val="32"/>
          <w:szCs w:val="32"/>
        </w:rPr>
        <w:t>90</w:t>
      </w:r>
      <w:r>
        <w:rPr>
          <w:rFonts w:hint="eastAsia" w:ascii="仿宋_GB2312" w:hAnsi="仿宋_GB2312" w:eastAsia="仿宋_GB2312" w:cs="仿宋_GB2312"/>
          <w:sz w:val="32"/>
          <w:szCs w:val="32"/>
        </w:rPr>
        <w:t>%以上。</w:t>
      </w:r>
    </w:p>
    <w:p>
      <w:pPr>
        <w:widowControl w:val="0"/>
        <w:tabs>
          <w:tab w:val="left" w:pos="5670"/>
        </w:tabs>
        <w:ind w:firstLine="640" w:firstLineChars="200"/>
        <w:rPr>
          <w:rFonts w:ascii="楷体_GB2312" w:hAnsi="Times New Roman" w:eastAsia="楷体_GB2312" w:cs="Times New Roman"/>
          <w:sz w:val="32"/>
          <w:szCs w:val="32"/>
        </w:rPr>
      </w:pPr>
      <w:r>
        <w:rPr>
          <w:rFonts w:hint="eastAsia" w:ascii="黑体" w:hAnsi="黑体" w:eastAsia="黑体"/>
          <w:sz w:val="32"/>
          <w:szCs w:val="32"/>
        </w:rPr>
        <w:t>五、评价结论</w:t>
      </w:r>
    </w:p>
    <w:p>
      <w:pPr>
        <w:widowControl w:val="0"/>
        <w:tabs>
          <w:tab w:val="left" w:pos="5670"/>
        </w:tabs>
        <w:ind w:firstLine="640" w:firstLineChars="200"/>
        <w:rPr>
          <w:rFonts w:ascii="仿宋_GB2312" w:hAnsi="仿宋_GB2312" w:eastAsia="仿宋_GB2312" w:cs="仿宋_GB2312"/>
          <w:sz w:val="32"/>
          <w:szCs w:val="32"/>
          <w:highlight w:val="none"/>
        </w:rPr>
      </w:pPr>
      <w:r>
        <w:rPr>
          <w:rFonts w:hint="eastAsia" w:ascii="Times New Roman" w:hAnsi="Times New Roman" w:eastAsia="仿宋" w:cs="仿宋"/>
          <w:sz w:val="32"/>
          <w:szCs w:val="32"/>
          <w:highlight w:val="none"/>
        </w:rPr>
        <w:t>2019</w:t>
      </w:r>
      <w:r>
        <w:rPr>
          <w:rFonts w:hint="eastAsia" w:ascii="仿宋_GB2312" w:hAnsi="仿宋_GB2312" w:eastAsia="仿宋_GB2312" w:cs="仿宋_GB2312"/>
          <w:sz w:val="32"/>
          <w:szCs w:val="32"/>
          <w:highlight w:val="none"/>
        </w:rPr>
        <w:t>年平陆县圣人涧镇营村村一组至二组道路建设工程项目总得分</w:t>
      </w:r>
      <w:r>
        <w:rPr>
          <w:rFonts w:hint="eastAsia" w:ascii="Times New Roman" w:hAnsi="Times New Roman" w:eastAsia="仿宋" w:cs="仿宋"/>
          <w:sz w:val="32"/>
          <w:szCs w:val="32"/>
          <w:highlight w:val="none"/>
        </w:rPr>
        <w:t>8</w:t>
      </w:r>
      <w:r>
        <w:rPr>
          <w:rFonts w:hint="eastAsia" w:ascii="Times New Roman" w:hAnsi="Times New Roman" w:eastAsia="仿宋" w:cs="仿宋"/>
          <w:sz w:val="32"/>
          <w:szCs w:val="32"/>
          <w:highlight w:val="none"/>
          <w:lang w:val="en-US" w:eastAsia="zh-CN"/>
        </w:rPr>
        <w:t>7.51</w:t>
      </w:r>
      <w:r>
        <w:rPr>
          <w:rFonts w:hint="eastAsia" w:ascii="仿宋_GB2312" w:hAnsi="仿宋_GB2312" w:eastAsia="仿宋_GB2312" w:cs="仿宋_GB2312"/>
          <w:sz w:val="32"/>
          <w:szCs w:val="32"/>
          <w:highlight w:val="none"/>
        </w:rPr>
        <w:t>分，评价等级为“良”。</w:t>
      </w:r>
    </w:p>
    <w:p>
      <w:pPr>
        <w:widowControl w:val="0"/>
        <w:tabs>
          <w:tab w:val="left" w:pos="5180"/>
        </w:tabs>
        <w:ind w:firstLine="640" w:firstLineChars="200"/>
        <w:rPr>
          <w:rFonts w:ascii="黑体" w:hAnsi="黑体" w:eastAsia="黑体"/>
          <w:sz w:val="32"/>
          <w:szCs w:val="32"/>
          <w:highlight w:val="none"/>
        </w:rPr>
      </w:pPr>
      <w:r>
        <w:rPr>
          <w:rFonts w:hint="eastAsia" w:ascii="黑体" w:hAnsi="黑体" w:eastAsia="黑体"/>
          <w:sz w:val="32"/>
          <w:szCs w:val="32"/>
          <w:highlight w:val="none"/>
        </w:rPr>
        <w:t>六、项目主要绩效</w:t>
      </w:r>
    </w:p>
    <w:p>
      <w:pPr>
        <w:widowControl w:val="0"/>
        <w:ind w:firstLine="640" w:firstLineChars="200"/>
        <w:rPr>
          <w:rFonts w:eastAsia="仿宋_GB2312" w:cs="仿宋_GB2312"/>
          <w:sz w:val="32"/>
          <w:szCs w:val="32"/>
          <w:highlight w:val="yellow"/>
        </w:rPr>
      </w:pPr>
      <w:r>
        <w:rPr>
          <w:rFonts w:hint="eastAsia" w:ascii="楷体_GB2312" w:eastAsia="楷体_GB2312"/>
          <w:sz w:val="32"/>
          <w:szCs w:val="32"/>
        </w:rPr>
        <w:t>（一）产出成效明显。</w:t>
      </w:r>
      <w:r>
        <w:rPr>
          <w:rFonts w:hint="eastAsia" w:ascii="仿宋_GB2312" w:hAnsi="仿宋" w:eastAsia="仿宋_GB2312" w:cs="仿宋"/>
          <w:sz w:val="32"/>
          <w:szCs w:val="32"/>
          <w:lang w:val="en-US" w:eastAsia="zh-CN"/>
        </w:rPr>
        <w:t>2019年平陆县圣人涧镇营村村一组至二组道路建设工程项目申报目标道路硬化总长度</w:t>
      </w:r>
      <w:r>
        <w:rPr>
          <w:rFonts w:hint="eastAsia" w:ascii="Times New Roman" w:hAnsi="Times New Roman" w:eastAsia="仿宋_GB2312" w:cs="仿宋_GB2312"/>
          <w:sz w:val="32"/>
          <w:szCs w:val="32"/>
        </w:rPr>
        <w:t>4.5</w:t>
      </w:r>
      <w:r>
        <w:rPr>
          <w:rFonts w:hint="eastAsia" w:ascii="仿宋_GB2312" w:hAnsi="仿宋_GB2312" w:eastAsia="仿宋_GB2312" w:cs="仿宋_GB2312"/>
          <w:sz w:val="32"/>
          <w:szCs w:val="32"/>
        </w:rPr>
        <w:t>公里</w:t>
      </w:r>
      <w:r>
        <w:rPr>
          <w:rFonts w:hint="eastAsia" w:ascii="仿宋_GB2312" w:hAnsi="仿宋_GB2312" w:eastAsia="仿宋_GB2312" w:cs="仿宋_GB2312"/>
          <w:sz w:val="32"/>
          <w:szCs w:val="32"/>
          <w:lang w:val="en-US" w:eastAsia="zh-CN"/>
        </w:rPr>
        <w:t>列入计划，</w:t>
      </w:r>
      <w:r>
        <w:rPr>
          <w:rFonts w:hint="eastAsia" w:ascii="仿宋_GB2312" w:hAnsi="仿宋" w:eastAsia="仿宋_GB2312" w:cs="仿宋"/>
          <w:sz w:val="32"/>
          <w:szCs w:val="32"/>
          <w:lang w:val="en-US" w:eastAsia="zh-CN"/>
        </w:rPr>
        <w:t>招标时根据实际地势情况进行路线优化，</w:t>
      </w:r>
      <w:r>
        <w:rPr>
          <w:rFonts w:hint="eastAsia" w:ascii="仿宋_GB2312" w:hAnsi="仿宋_GB2312" w:eastAsia="仿宋_GB2312" w:cs="仿宋_GB2312"/>
          <w:sz w:val="32"/>
          <w:szCs w:val="32"/>
          <w:lang w:val="en-US" w:eastAsia="zh-CN"/>
        </w:rPr>
        <w:t>合同实际签订工程量</w:t>
      </w:r>
      <w:r>
        <w:rPr>
          <w:rFonts w:hint="eastAsia" w:ascii="Times New Roman" w:hAnsi="Times New Roman" w:eastAsia="仿宋_GB2312" w:cs="仿宋_GB2312"/>
          <w:sz w:val="32"/>
          <w:szCs w:val="32"/>
          <w:lang w:val="en-US" w:eastAsia="zh-CN"/>
        </w:rPr>
        <w:t>3.94</w:t>
      </w:r>
      <w:r>
        <w:rPr>
          <w:rFonts w:hint="eastAsia" w:ascii="仿宋_GB2312" w:hAnsi="仿宋_GB2312" w:eastAsia="仿宋_GB2312" w:cs="仿宋_GB2312"/>
          <w:sz w:val="32"/>
          <w:szCs w:val="32"/>
        </w:rPr>
        <w:t>公里</w:t>
      </w:r>
      <w:r>
        <w:rPr>
          <w:rFonts w:hint="eastAsia" w:ascii="仿宋_GB2312" w:hAnsi="仿宋_GB2312" w:eastAsia="仿宋_GB2312" w:cs="仿宋_GB2312"/>
          <w:sz w:val="32"/>
          <w:szCs w:val="32"/>
          <w:lang w:eastAsia="zh-CN"/>
        </w:rPr>
        <w:t>，</w:t>
      </w:r>
      <w:r>
        <w:rPr>
          <w:rFonts w:hint="eastAsia" w:ascii="仿宋_GB2312" w:hAnsi="仿宋" w:eastAsia="仿宋_GB2312" w:cs="仿宋"/>
          <w:sz w:val="32"/>
          <w:szCs w:val="32"/>
        </w:rPr>
        <w:t>实际完成</w:t>
      </w:r>
      <w:r>
        <w:rPr>
          <w:rFonts w:hint="eastAsia" w:ascii="仿宋_GB2312" w:hAnsi="仿宋_GB2312" w:eastAsia="仿宋_GB2312" w:cs="仿宋_GB2312"/>
          <w:sz w:val="32"/>
          <w:szCs w:val="32"/>
        </w:rPr>
        <w:t>硬化道路</w:t>
      </w:r>
      <w:r>
        <w:rPr>
          <w:rFonts w:hint="eastAsia" w:ascii="Times New Roman" w:hAnsi="Times New Roman" w:eastAsia="仿宋_GB2312" w:cs="仿宋_GB2312"/>
          <w:sz w:val="32"/>
          <w:szCs w:val="32"/>
          <w:lang w:val="en-US" w:eastAsia="zh-CN"/>
        </w:rPr>
        <w:t>3.94</w:t>
      </w:r>
      <w:r>
        <w:rPr>
          <w:rFonts w:hint="eastAsia" w:ascii="仿宋_GB2312" w:hAnsi="仿宋_GB2312" w:eastAsia="仿宋_GB2312" w:cs="仿宋_GB2312"/>
          <w:sz w:val="32"/>
          <w:szCs w:val="32"/>
        </w:rPr>
        <w:t>公里</w:t>
      </w:r>
      <w:r>
        <w:rPr>
          <w:rFonts w:hint="eastAsia" w:ascii="仿宋_GB2312" w:hAnsi="仿宋" w:eastAsia="仿宋_GB2312" w:cs="仿宋"/>
          <w:sz w:val="32"/>
          <w:szCs w:val="32"/>
          <w:lang w:eastAsia="zh-CN"/>
        </w:rPr>
        <w:t>，</w:t>
      </w:r>
      <w:r>
        <w:rPr>
          <w:rFonts w:hint="eastAsia" w:ascii="仿宋_GB2312" w:hAnsi="仿宋" w:eastAsia="仿宋_GB2312"/>
          <w:sz w:val="32"/>
          <w:szCs w:val="32"/>
          <w:lang w:val="en-US" w:eastAsia="zh-CN"/>
        </w:rPr>
        <w:t>工程建设</w:t>
      </w:r>
      <w:r>
        <w:rPr>
          <w:rFonts w:hint="eastAsia" w:ascii="仿宋_GB2312" w:hAnsi="仿宋" w:eastAsia="仿宋_GB2312"/>
          <w:sz w:val="32"/>
          <w:szCs w:val="32"/>
        </w:rPr>
        <w:t>完成率</w:t>
      </w:r>
      <w:r>
        <w:rPr>
          <w:rFonts w:hint="eastAsia" w:ascii="Times New Roman" w:hAnsi="Times New Roman" w:eastAsia="仿宋" w:cs="仿宋"/>
          <w:sz w:val="32"/>
          <w:szCs w:val="32"/>
        </w:rPr>
        <w:t>1</w:t>
      </w:r>
      <w:r>
        <w:rPr>
          <w:rFonts w:ascii="Times New Roman" w:hAnsi="Times New Roman" w:eastAsia="仿宋" w:cs="仿宋"/>
          <w:sz w:val="32"/>
          <w:szCs w:val="32"/>
        </w:rPr>
        <w:t>00</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仿宋" w:eastAsia="仿宋_GB2312"/>
          <w:sz w:val="32"/>
          <w:szCs w:val="32"/>
        </w:rPr>
        <w:t>工程验收合格率达到</w:t>
      </w:r>
      <w:r>
        <w:rPr>
          <w:rFonts w:hint="eastAsia" w:ascii="Times New Roman" w:hAnsi="Times New Roman" w:eastAsia="仿宋" w:cs="仿宋"/>
          <w:sz w:val="32"/>
          <w:szCs w:val="32"/>
        </w:rPr>
        <w:t>100</w:t>
      </w:r>
      <w:r>
        <w:rPr>
          <w:rFonts w:hint="eastAsia" w:ascii="仿宋_GB2312" w:hAnsi="仿宋" w:eastAsia="仿宋_GB2312"/>
          <w:sz w:val="32"/>
          <w:szCs w:val="32"/>
        </w:rPr>
        <w:t>%；</w:t>
      </w:r>
      <w:r>
        <w:rPr>
          <w:rFonts w:hint="eastAsia" w:ascii="仿宋_GB2312" w:hAnsi="仿宋" w:eastAsia="仿宋_GB2312" w:cs="仿宋"/>
          <w:sz w:val="32"/>
          <w:szCs w:val="32"/>
          <w:lang w:val="en-US" w:eastAsia="zh-CN"/>
        </w:rPr>
        <w:t>项目申报目标</w:t>
      </w:r>
      <w:r>
        <w:rPr>
          <w:rFonts w:hint="eastAsia" w:ascii="Times New Roman" w:hAnsi="Times New Roman" w:eastAsia="仿宋_GB2312" w:cs="仿宋"/>
          <w:sz w:val="32"/>
          <w:szCs w:val="32"/>
          <w:lang w:val="en-US" w:eastAsia="zh-CN"/>
        </w:rPr>
        <w:t>31.1</w:t>
      </w:r>
      <w:r>
        <w:rPr>
          <w:rFonts w:hint="eastAsia" w:ascii="仿宋_GB2312" w:hAnsi="仿宋" w:eastAsia="仿宋_GB2312" w:cs="仿宋"/>
          <w:sz w:val="32"/>
          <w:szCs w:val="32"/>
          <w:lang w:val="en-US" w:eastAsia="zh-CN"/>
        </w:rPr>
        <w:t>万元/公里、总长度</w:t>
      </w:r>
      <w:r>
        <w:rPr>
          <w:rFonts w:hint="eastAsia" w:ascii="Times New Roman" w:hAnsi="Times New Roman" w:eastAsia="仿宋_GB2312" w:cs="仿宋"/>
          <w:sz w:val="32"/>
          <w:szCs w:val="32"/>
          <w:lang w:val="en-US" w:eastAsia="zh-CN"/>
        </w:rPr>
        <w:t>4.5公里列入计划，招标时根据实际地势情况进行路线优化，招</w:t>
      </w:r>
      <w:r>
        <w:rPr>
          <w:rFonts w:hint="eastAsia" w:ascii="仿宋_GB2312" w:hAnsi="仿宋" w:eastAsia="仿宋_GB2312" w:cs="仿宋"/>
          <w:sz w:val="32"/>
          <w:szCs w:val="32"/>
          <w:lang w:val="en-US" w:eastAsia="zh-CN"/>
        </w:rPr>
        <w:t>标里程为</w:t>
      </w:r>
      <w:r>
        <w:rPr>
          <w:rFonts w:hint="eastAsia" w:ascii="Times New Roman" w:hAnsi="Times New Roman" w:eastAsia="仿宋_GB2312" w:cs="仿宋"/>
          <w:sz w:val="32"/>
          <w:szCs w:val="32"/>
          <w:lang w:val="en-US" w:eastAsia="zh-CN"/>
        </w:rPr>
        <w:t>3.94</w:t>
      </w:r>
      <w:r>
        <w:rPr>
          <w:rFonts w:hint="eastAsia" w:ascii="仿宋_GB2312" w:hAnsi="仿宋" w:eastAsia="仿宋_GB2312" w:cs="仿宋"/>
          <w:sz w:val="32"/>
          <w:szCs w:val="32"/>
          <w:lang w:val="en-US" w:eastAsia="zh-CN"/>
        </w:rPr>
        <w:t>公里，增加两边路肩宽各</w:t>
      </w:r>
      <w:r>
        <w:rPr>
          <w:rFonts w:hint="eastAsia" w:ascii="Times New Roman" w:hAnsi="Times New Roman" w:eastAsia="仿宋_GB2312" w:cs="仿宋"/>
          <w:sz w:val="32"/>
          <w:szCs w:val="32"/>
          <w:lang w:val="en-US" w:eastAsia="zh-CN"/>
        </w:rPr>
        <w:t>0.5</w:t>
      </w:r>
      <w:r>
        <w:rPr>
          <w:rFonts w:hint="eastAsia" w:ascii="仿宋_GB2312" w:hAnsi="仿宋" w:eastAsia="仿宋_GB2312" w:cs="仿宋"/>
          <w:sz w:val="32"/>
          <w:szCs w:val="32"/>
          <w:lang w:val="en-US" w:eastAsia="zh-CN"/>
        </w:rPr>
        <w:t>米而导致投资为</w:t>
      </w:r>
      <w:r>
        <w:rPr>
          <w:rFonts w:hint="eastAsia" w:ascii="Times New Roman" w:hAnsi="Times New Roman" w:eastAsia="仿宋_GB2312" w:cs="仿宋"/>
          <w:sz w:val="32"/>
          <w:szCs w:val="32"/>
          <w:lang w:val="en-US" w:eastAsia="zh-CN"/>
        </w:rPr>
        <w:t>33.53</w:t>
      </w:r>
      <w:r>
        <w:rPr>
          <w:rFonts w:hint="eastAsia" w:ascii="仿宋_GB2312" w:hAnsi="仿宋" w:eastAsia="仿宋_GB2312" w:cs="仿宋"/>
          <w:sz w:val="32"/>
          <w:szCs w:val="32"/>
          <w:lang w:val="en-US" w:eastAsia="zh-CN"/>
        </w:rPr>
        <w:t>万元/公里，投资额没有超计划资金；</w:t>
      </w:r>
      <w:r>
        <w:rPr>
          <w:rFonts w:hint="eastAsia" w:ascii="仿宋_GB2312" w:hAnsi="仿宋" w:eastAsia="仿宋_GB2312"/>
          <w:sz w:val="32"/>
          <w:szCs w:val="32"/>
        </w:rPr>
        <w:t>建设成本</w:t>
      </w:r>
      <w:r>
        <w:rPr>
          <w:rFonts w:hint="eastAsia" w:ascii="Times New Roman" w:hAnsi="Times New Roman" w:eastAsia="仿宋" w:cs="仿宋"/>
          <w:sz w:val="32"/>
          <w:szCs w:val="32"/>
        </w:rPr>
        <w:t>节约</w:t>
      </w:r>
      <w:r>
        <w:rPr>
          <w:rFonts w:hint="eastAsia" w:ascii="仿宋_GB2312" w:hAnsi="仿宋" w:eastAsia="仿宋_GB2312"/>
          <w:sz w:val="32"/>
          <w:szCs w:val="32"/>
        </w:rPr>
        <w:t>率控制在合理的范围内。</w:t>
      </w:r>
    </w:p>
    <w:p>
      <w:pPr>
        <w:widowControl w:val="0"/>
        <w:ind w:firstLine="640" w:firstLineChars="200"/>
        <w:rPr>
          <w:rFonts w:ascii="仿宋_GB2312" w:hAnsi="楷体" w:eastAsia="仿宋_GB2312"/>
          <w:sz w:val="32"/>
          <w:szCs w:val="32"/>
        </w:rPr>
      </w:pPr>
      <w:r>
        <w:rPr>
          <w:rFonts w:hint="eastAsia" w:ascii="楷体_GB2312" w:eastAsia="楷体_GB2312"/>
          <w:sz w:val="32"/>
          <w:szCs w:val="32"/>
        </w:rPr>
        <w:t>（二）</w:t>
      </w:r>
      <w:r>
        <w:rPr>
          <w:rFonts w:hint="eastAsia" w:ascii="楷体_GB2312" w:eastAsia="楷体_GB2312"/>
          <w:sz w:val="32"/>
          <w:szCs w:val="32"/>
          <w:lang w:val="en-US" w:eastAsia="zh-CN"/>
        </w:rPr>
        <w:t>社会</w:t>
      </w:r>
      <w:r>
        <w:rPr>
          <w:rFonts w:hint="eastAsia" w:ascii="楷体_GB2312" w:eastAsia="楷体_GB2312"/>
          <w:sz w:val="32"/>
          <w:szCs w:val="32"/>
        </w:rPr>
        <w:t>效益良好。</w:t>
      </w:r>
      <w:r>
        <w:rPr>
          <w:rFonts w:hint="eastAsia" w:ascii="仿宋_GB2312" w:hAnsi="楷体" w:eastAsia="仿宋_GB2312"/>
          <w:sz w:val="32"/>
          <w:szCs w:val="32"/>
          <w:lang w:val="en-US" w:eastAsia="zh-CN"/>
        </w:rPr>
        <w:t>通过</w:t>
      </w:r>
      <w:r>
        <w:rPr>
          <w:rFonts w:hint="eastAsia" w:ascii="仿宋_GB2312" w:hAnsi="楷体" w:eastAsia="仿宋_GB2312"/>
          <w:sz w:val="32"/>
          <w:szCs w:val="32"/>
        </w:rPr>
        <w:t>项目的实施，</w:t>
      </w:r>
      <w:r>
        <w:rPr>
          <w:rFonts w:hint="eastAsia" w:ascii="仿宋_GB2312" w:hAnsi="楷体" w:eastAsia="仿宋_GB2312"/>
          <w:sz w:val="32"/>
          <w:szCs w:val="32"/>
          <w:lang w:val="en-US" w:eastAsia="zh-CN"/>
        </w:rPr>
        <w:t>一定程度</w:t>
      </w:r>
      <w:r>
        <w:rPr>
          <w:rFonts w:hint="eastAsia" w:ascii="仿宋_GB2312" w:hAnsi="楷体" w:eastAsia="仿宋_GB2312"/>
          <w:sz w:val="32"/>
          <w:szCs w:val="32"/>
        </w:rPr>
        <w:t>改善了</w:t>
      </w:r>
      <w:r>
        <w:rPr>
          <w:rFonts w:hint="eastAsia" w:ascii="仿宋_GB2312" w:hAnsi="楷体" w:eastAsia="仿宋_GB2312"/>
          <w:sz w:val="32"/>
          <w:szCs w:val="32"/>
          <w:lang w:val="en-US" w:eastAsia="zh-CN"/>
        </w:rPr>
        <w:t>群众生产生活条件；解决了</w:t>
      </w:r>
      <w:r>
        <w:rPr>
          <w:rFonts w:hint="eastAsia" w:ascii="Times New Roman" w:hAnsi="Times New Roman" w:eastAsia="仿宋_GB2312" w:cs="仿宋"/>
          <w:sz w:val="32"/>
          <w:szCs w:val="32"/>
          <w:lang w:val="en-US" w:eastAsia="zh-CN"/>
        </w:rPr>
        <w:t>200</w:t>
      </w:r>
      <w:r>
        <w:rPr>
          <w:rFonts w:hint="eastAsia" w:ascii="仿宋_GB2312" w:hAnsi="楷体" w:eastAsia="仿宋_GB2312"/>
          <w:sz w:val="32"/>
          <w:szCs w:val="32"/>
          <w:lang w:val="en-US" w:eastAsia="zh-CN"/>
        </w:rPr>
        <w:t>余村民出行难的问题，缩短了人们的出行条件；可促进农副产品的销售问题，为项目区经济发展提供基础保障，使营村建档立卡贫困户增收受益。</w:t>
      </w:r>
    </w:p>
    <w:p>
      <w:pPr>
        <w:widowControl w:val="0"/>
        <w:ind w:firstLine="640" w:firstLineChars="200"/>
        <w:rPr>
          <w:rFonts w:ascii="黑体" w:hAnsi="黑体" w:eastAsia="黑体"/>
          <w:kern w:val="2"/>
          <w:sz w:val="32"/>
          <w:szCs w:val="32"/>
        </w:rPr>
      </w:pPr>
      <w:r>
        <w:rPr>
          <w:rFonts w:hint="eastAsia" w:ascii="黑体" w:hAnsi="黑体" w:eastAsia="黑体"/>
          <w:kern w:val="2"/>
          <w:sz w:val="32"/>
          <w:szCs w:val="32"/>
        </w:rPr>
        <w:t>七、主要经验及做法</w:t>
      </w:r>
    </w:p>
    <w:p>
      <w:pPr>
        <w:ind w:firstLine="640" w:firstLineChars="200"/>
        <w:rPr>
          <w:rFonts w:eastAsia="楷体_GB2312"/>
          <w:sz w:val="32"/>
          <w:szCs w:val="32"/>
        </w:rPr>
      </w:pPr>
      <w:r>
        <w:rPr>
          <w:rFonts w:hint="eastAsia" w:eastAsia="楷体_GB2312"/>
          <w:sz w:val="32"/>
          <w:szCs w:val="32"/>
        </w:rPr>
        <w:t>（一）项目选择合理，结合当地实际</w:t>
      </w:r>
    </w:p>
    <w:p>
      <w:pPr>
        <w:ind w:firstLine="640" w:firstLineChars="200"/>
        <w:rPr>
          <w:rFonts w:eastAsia="楷体_GB2312"/>
          <w:sz w:val="32"/>
          <w:szCs w:val="32"/>
        </w:rPr>
      </w:pPr>
      <w:r>
        <w:rPr>
          <w:rFonts w:hint="eastAsia" w:ascii="Times New Roman" w:hAnsi="Times New Roman" w:eastAsia="仿宋" w:cs="仿宋"/>
          <w:sz w:val="32"/>
          <w:szCs w:val="32"/>
        </w:rPr>
        <w:t>2019</w:t>
      </w:r>
      <w:r>
        <w:rPr>
          <w:rFonts w:hint="eastAsia" w:ascii="仿宋_GB2312" w:hAnsi="仿宋_GB2312" w:eastAsia="仿宋_GB2312" w:cs="仿宋_GB2312"/>
          <w:sz w:val="32"/>
          <w:szCs w:val="32"/>
        </w:rPr>
        <w:t>年平陆县圣人涧镇营村村一组至二组道路建设工程项目选择结合当地村组道路交通环境较差的自然村路况实际，项目选择合理，符合项目镇客观的现实需求。</w:t>
      </w:r>
    </w:p>
    <w:p>
      <w:pPr>
        <w:ind w:firstLine="640" w:firstLineChars="200"/>
        <w:rPr>
          <w:rFonts w:eastAsia="楷体_GB2312"/>
          <w:sz w:val="32"/>
          <w:szCs w:val="32"/>
        </w:rPr>
      </w:pPr>
      <w:r>
        <w:rPr>
          <w:rFonts w:hint="eastAsia" w:eastAsia="楷体_GB2312"/>
          <w:sz w:val="32"/>
          <w:szCs w:val="32"/>
        </w:rPr>
        <w:t>（二）</w:t>
      </w:r>
      <w:r>
        <w:rPr>
          <w:rFonts w:hint="eastAsia" w:ascii="楷体" w:hAnsi="楷体" w:eastAsia="楷体"/>
          <w:sz w:val="32"/>
          <w:szCs w:val="32"/>
        </w:rPr>
        <w:t>目标责任清晰，项目成效明显</w:t>
      </w:r>
    </w:p>
    <w:p>
      <w:pPr>
        <w:ind w:firstLine="640" w:firstLineChars="200"/>
      </w:pPr>
      <w:r>
        <w:rPr>
          <w:rFonts w:hint="eastAsia" w:ascii="仿宋_GB2312" w:hAnsi="仿宋" w:eastAsia="仿宋_GB2312" w:cs="Times New Roman"/>
          <w:sz w:val="32"/>
          <w:szCs w:val="32"/>
        </w:rPr>
        <w:t>项目实施单位成立了项目管理组织机构，明确了项目管理各方职责，将项目实施过程的管理责任落实到相关负责人，项目建设取得了较好的成效。</w:t>
      </w:r>
    </w:p>
    <w:p>
      <w:pPr>
        <w:widowControl w:val="0"/>
        <w:ind w:firstLine="640" w:firstLineChars="200"/>
        <w:rPr>
          <w:rFonts w:ascii="黑体" w:hAnsi="黑体" w:eastAsia="黑体"/>
          <w:kern w:val="2"/>
          <w:sz w:val="32"/>
          <w:szCs w:val="32"/>
          <w:highlight w:val="none"/>
        </w:rPr>
      </w:pPr>
      <w:r>
        <w:rPr>
          <w:rFonts w:hint="eastAsia" w:ascii="黑体" w:hAnsi="黑体" w:eastAsia="黑体"/>
          <w:kern w:val="2"/>
          <w:sz w:val="32"/>
          <w:szCs w:val="32"/>
          <w:highlight w:val="none"/>
        </w:rPr>
        <w:t>八、存在的主要问题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eastAsia="楷体_GB2312"/>
          <w:sz w:val="32"/>
          <w:szCs w:val="32"/>
          <w:highlight w:val="yellow"/>
        </w:rPr>
      </w:pPr>
      <w:r>
        <w:rPr>
          <w:rFonts w:hint="eastAsia" w:eastAsia="楷体_GB2312"/>
          <w:sz w:val="32"/>
          <w:szCs w:val="32"/>
          <w:highlight w:val="none"/>
        </w:rPr>
        <w:t>（一）</w:t>
      </w:r>
      <w:r>
        <w:rPr>
          <w:rFonts w:hint="eastAsia" w:eastAsia="楷体_GB2312"/>
          <w:sz w:val="32"/>
          <w:szCs w:val="32"/>
          <w:highlight w:val="none"/>
          <w:lang w:val="en-US" w:eastAsia="zh-CN"/>
        </w:rPr>
        <w:t>预算执行率较低</w:t>
      </w:r>
      <w:r>
        <w:rPr>
          <w:rFonts w:hint="eastAsia" w:eastAsia="楷体_GB2312"/>
          <w:sz w:val="32"/>
          <w:szCs w:val="32"/>
          <w:highlight w:val="none"/>
        </w:rPr>
        <w:t>。</w:t>
      </w:r>
      <w:r>
        <w:rPr>
          <w:rFonts w:hint="eastAsia" w:ascii="Times New Roman" w:hAnsi="Times New Roman" w:eastAsia="仿宋_GB2312" w:cs="Times New Roman"/>
          <w:sz w:val="32"/>
          <w:szCs w:val="32"/>
          <w:highlight w:val="none"/>
        </w:rPr>
        <w:t>2019</w:t>
      </w:r>
      <w:r>
        <w:rPr>
          <w:rFonts w:hint="eastAsia" w:ascii="Times New Roman" w:hAnsi="Times New Roman" w:eastAsia="仿宋_GB2312" w:cs="Times New Roman"/>
          <w:sz w:val="32"/>
          <w:szCs w:val="32"/>
        </w:rPr>
        <w:t>年平陆县圣人涧镇营村村一组至二组道路建设工程项目</w:t>
      </w:r>
      <w:r>
        <w:rPr>
          <w:rFonts w:hint="eastAsia" w:ascii="仿宋_GB2312" w:hAnsi="仿宋" w:eastAsia="仿宋_GB2312" w:cs="仿宋"/>
          <w:sz w:val="32"/>
          <w:szCs w:val="32"/>
        </w:rPr>
        <w:t>到位资金</w:t>
      </w:r>
      <w:r>
        <w:rPr>
          <w:rFonts w:hint="eastAsia" w:ascii="Times New Roman" w:hAnsi="Times New Roman" w:eastAsia="仿宋_GB2312" w:cs="仿宋_GB2312"/>
          <w:sz w:val="32"/>
          <w:szCs w:val="32"/>
          <w:lang w:val="en-US" w:eastAsia="zh-CN"/>
        </w:rPr>
        <w:t>132.12</w:t>
      </w:r>
      <w:r>
        <w:rPr>
          <w:rFonts w:ascii="仿宋_GB2312" w:hAnsi="仿宋" w:eastAsia="仿宋_GB2312" w:cs="仿宋"/>
          <w:sz w:val="32"/>
          <w:szCs w:val="32"/>
        </w:rPr>
        <w:t>万元，</w:t>
      </w:r>
      <w:r>
        <w:rPr>
          <w:rFonts w:hint="eastAsia" w:ascii="仿宋_GB2312" w:hAnsi="仿宋" w:eastAsia="仿宋_GB2312" w:cs="仿宋"/>
          <w:sz w:val="32"/>
          <w:szCs w:val="32"/>
        </w:rPr>
        <w:t>项目支出资金</w:t>
      </w:r>
      <w:r>
        <w:rPr>
          <w:rFonts w:hint="eastAsia" w:ascii="Times New Roman" w:hAnsi="Times New Roman" w:eastAsia="仿宋_GB2312" w:cs="仿宋_GB2312"/>
          <w:sz w:val="32"/>
          <w:szCs w:val="32"/>
          <w:lang w:val="en-US" w:eastAsia="zh-CN"/>
        </w:rPr>
        <w:t>117.08</w:t>
      </w:r>
      <w:r>
        <w:rPr>
          <w:rFonts w:hint="eastAsia" w:ascii="仿宋_GB2312" w:hAnsi="Times New Roman" w:eastAsia="仿宋_GB2312" w:cs="Times New Roman"/>
          <w:sz w:val="32"/>
          <w:szCs w:val="32"/>
        </w:rPr>
        <w:t>万元，</w:t>
      </w:r>
      <w:r>
        <w:rPr>
          <w:rFonts w:hint="eastAsia" w:ascii="仿宋_GB2312" w:hAnsi="仿宋" w:eastAsia="仿宋_GB2312" w:cs="仿宋"/>
          <w:sz w:val="32"/>
          <w:szCs w:val="32"/>
        </w:rPr>
        <w:t>预算执行率为</w:t>
      </w:r>
      <w:r>
        <w:rPr>
          <w:rFonts w:hint="eastAsia" w:ascii="Times New Roman" w:hAnsi="Times New Roman" w:eastAsia="仿宋" w:cs="仿宋"/>
          <w:sz w:val="32"/>
          <w:szCs w:val="32"/>
          <w:lang w:val="en-US" w:eastAsia="zh-CN"/>
        </w:rPr>
        <w:t>88.62</w:t>
      </w:r>
      <w:r>
        <w:rPr>
          <w:rFonts w:hint="eastAsia" w:ascii="仿宋" w:hAnsi="仿宋" w:eastAsia="仿宋" w:cs="仿宋"/>
          <w:sz w:val="32"/>
          <w:szCs w:val="32"/>
        </w:rPr>
        <w:t>%。</w:t>
      </w:r>
      <w:r>
        <w:rPr>
          <w:rFonts w:hint="eastAsia" w:ascii="仿宋" w:hAnsi="仿宋" w:eastAsia="仿宋" w:cs="仿宋"/>
          <w:sz w:val="32"/>
          <w:szCs w:val="32"/>
          <w:lang w:val="en-US" w:eastAsia="zh-CN"/>
        </w:rPr>
        <w:t>资金拨付按照：一、启动施工单位开工建设后，实施单位应向施工单位预付工程款资金的</w:t>
      </w:r>
      <w:r>
        <w:rPr>
          <w:rFonts w:hint="eastAsia" w:ascii="Times New Roman" w:hAnsi="Times New Roman" w:eastAsia="仿宋_GB2312" w:cs="Times New Roman"/>
          <w:sz w:val="32"/>
          <w:szCs w:val="32"/>
          <w:lang w:val="en-US" w:eastAsia="zh-CN"/>
        </w:rPr>
        <w:t>30</w:t>
      </w:r>
      <w:r>
        <w:rPr>
          <w:rFonts w:hint="eastAsia" w:ascii="仿宋" w:hAnsi="仿宋" w:eastAsia="仿宋" w:cs="仿宋"/>
          <w:sz w:val="32"/>
          <w:szCs w:val="32"/>
          <w:lang w:val="en-US" w:eastAsia="zh-CN"/>
        </w:rPr>
        <w:t>%作为工程启动金；二、进度资金报账拨付。经项目实施单位核实，报请主管部门对施工单位承建工程组织中期进度检查，按完成工程量分期报账支付，进度支付额度为工程款</w:t>
      </w:r>
      <w:r>
        <w:rPr>
          <w:rFonts w:hint="eastAsia" w:ascii="Times New Roman" w:hAnsi="Times New Roman" w:eastAsia="仿宋_GB2312" w:cs="Times New Roman"/>
          <w:sz w:val="32"/>
          <w:szCs w:val="32"/>
          <w:lang w:val="en-US" w:eastAsia="zh-CN"/>
        </w:rPr>
        <w:t>40</w:t>
      </w:r>
      <w:r>
        <w:rPr>
          <w:rFonts w:hint="eastAsia" w:ascii="仿宋" w:hAnsi="仿宋" w:eastAsia="仿宋" w:cs="仿宋"/>
          <w:sz w:val="32"/>
          <w:szCs w:val="32"/>
          <w:lang w:val="en-US" w:eastAsia="zh-CN"/>
        </w:rPr>
        <w:t>%；三、验收后资金报账拨付：施工单位工程竣工后，经项目实施单位对施工单位承建工程组织验收合格后，项目实施单位向施工单位支付工程款资金的</w:t>
      </w:r>
      <w:r>
        <w:rPr>
          <w:rFonts w:hint="eastAsia" w:ascii="Times New Roman" w:hAnsi="Times New Roman" w:eastAsia="仿宋_GB2312" w:cs="Times New Roman"/>
          <w:sz w:val="32"/>
          <w:szCs w:val="32"/>
          <w:lang w:val="en-US" w:eastAsia="zh-CN"/>
        </w:rPr>
        <w:t>25</w:t>
      </w:r>
      <w:r>
        <w:rPr>
          <w:rFonts w:hint="eastAsia" w:ascii="仿宋" w:hAnsi="仿宋" w:eastAsia="仿宋" w:cs="仿宋"/>
          <w:sz w:val="32"/>
          <w:szCs w:val="32"/>
          <w:lang w:val="en-US" w:eastAsia="zh-CN"/>
        </w:rPr>
        <w:t>%；四、质量保证金。工程款资金的</w:t>
      </w:r>
      <w:r>
        <w:rPr>
          <w:rFonts w:hint="eastAsia" w:ascii="Times New Roman" w:hAnsi="Times New Roman" w:eastAsia="仿宋_GB2312" w:cs="Times New Roman"/>
          <w:sz w:val="32"/>
          <w:szCs w:val="32"/>
          <w:lang w:val="en-US" w:eastAsia="zh-CN"/>
        </w:rPr>
        <w:t>5</w:t>
      </w:r>
      <w:r>
        <w:rPr>
          <w:rFonts w:hint="eastAsia" w:ascii="仿宋" w:hAnsi="仿宋" w:eastAsia="仿宋" w:cs="仿宋"/>
          <w:sz w:val="32"/>
          <w:szCs w:val="32"/>
          <w:lang w:val="en-US" w:eastAsia="zh-CN"/>
        </w:rPr>
        <w:t>%作为质量保证金，保修期满后，工程正常运行，实施单位向施工单位支付工程款资金</w:t>
      </w:r>
      <w:r>
        <w:rPr>
          <w:rFonts w:hint="eastAsia" w:ascii="Times New Roman" w:hAnsi="Times New Roman" w:eastAsia="仿宋_GB2312" w:cs="Times New Roman"/>
          <w:sz w:val="32"/>
          <w:szCs w:val="32"/>
          <w:lang w:val="en-US" w:eastAsia="zh-CN"/>
        </w:rPr>
        <w:t>5</w:t>
      </w:r>
      <w:r>
        <w:rPr>
          <w:rFonts w:hint="eastAsia" w:ascii="仿宋" w:hAnsi="仿宋" w:eastAsia="仿宋" w:cs="仿宋"/>
          <w:sz w:val="32"/>
          <w:szCs w:val="32"/>
          <w:lang w:val="en-US" w:eastAsia="zh-CN"/>
        </w:rPr>
        <w:t>%的质量保证金。经核实，营村道路建设工程费用总计为</w:t>
      </w:r>
      <w:r>
        <w:rPr>
          <w:rFonts w:hint="eastAsia" w:ascii="Times New Roman" w:hAnsi="Times New Roman" w:eastAsia="仿宋_GB2312" w:cs="Times New Roman"/>
          <w:sz w:val="32"/>
          <w:szCs w:val="32"/>
          <w:lang w:val="en-US" w:eastAsia="zh-CN"/>
        </w:rPr>
        <w:t>132.12</w:t>
      </w:r>
      <w:r>
        <w:rPr>
          <w:rFonts w:hint="eastAsia" w:ascii="仿宋" w:hAnsi="仿宋" w:eastAsia="仿宋" w:cs="仿宋"/>
          <w:sz w:val="32"/>
          <w:szCs w:val="32"/>
          <w:lang w:val="en-US" w:eastAsia="zh-CN"/>
        </w:rPr>
        <w:t>万元，其中，工程款</w:t>
      </w:r>
      <w:r>
        <w:rPr>
          <w:rFonts w:hint="eastAsia" w:ascii="Times New Roman" w:hAnsi="Times New Roman" w:eastAsia="仿宋_GB2312" w:cs="Times New Roman"/>
          <w:sz w:val="32"/>
          <w:szCs w:val="32"/>
          <w:lang w:val="en-US" w:eastAsia="zh-CN"/>
        </w:rPr>
        <w:t>127.4</w:t>
      </w:r>
      <w:r>
        <w:rPr>
          <w:rFonts w:hint="eastAsia" w:ascii="仿宋" w:hAnsi="仿宋" w:eastAsia="仿宋" w:cs="仿宋"/>
          <w:sz w:val="32"/>
          <w:szCs w:val="32"/>
          <w:lang w:val="en-US" w:eastAsia="zh-CN"/>
        </w:rPr>
        <w:t>万元，其他费用</w:t>
      </w:r>
      <w:r>
        <w:rPr>
          <w:rFonts w:hint="eastAsia" w:ascii="Times New Roman" w:hAnsi="Times New Roman" w:eastAsia="仿宋_GB2312" w:cs="Times New Roman"/>
          <w:sz w:val="32"/>
          <w:szCs w:val="32"/>
          <w:lang w:val="en-US" w:eastAsia="zh-CN"/>
        </w:rPr>
        <w:t>4.72</w:t>
      </w:r>
      <w:r>
        <w:rPr>
          <w:rFonts w:hint="eastAsia" w:ascii="仿宋" w:hAnsi="仿宋" w:eastAsia="仿宋" w:cs="仿宋"/>
          <w:sz w:val="32"/>
          <w:szCs w:val="32"/>
          <w:lang w:val="en-US" w:eastAsia="zh-CN"/>
        </w:rPr>
        <w:t>万元。项目截止</w:t>
      </w:r>
      <w:r>
        <w:rPr>
          <w:rFonts w:hint="eastAsia" w:ascii="Times New Roman" w:hAnsi="Times New Roman" w:eastAsia="仿宋_GB2312" w:cs="Times New Roman"/>
          <w:sz w:val="32"/>
          <w:szCs w:val="32"/>
          <w:lang w:val="en-US" w:eastAsia="zh-CN"/>
        </w:rPr>
        <w:t>2019</w:t>
      </w:r>
      <w:r>
        <w:rPr>
          <w:rFonts w:hint="eastAsia" w:ascii="仿宋" w:hAnsi="仿宋" w:eastAsia="仿宋" w:cs="仿宋"/>
          <w:sz w:val="32"/>
          <w:szCs w:val="32"/>
          <w:lang w:val="en-US" w:eastAsia="zh-CN"/>
        </w:rPr>
        <w:t>年</w:t>
      </w:r>
      <w:r>
        <w:rPr>
          <w:rFonts w:hint="eastAsia" w:ascii="Times New Roman" w:hAnsi="Times New Roman" w:eastAsia="仿宋_GB2312" w:cs="Times New Roman"/>
          <w:sz w:val="32"/>
          <w:szCs w:val="32"/>
          <w:lang w:val="en-US" w:eastAsia="zh-CN"/>
        </w:rPr>
        <w:t>12</w:t>
      </w:r>
      <w:r>
        <w:rPr>
          <w:rFonts w:hint="eastAsia" w:ascii="仿宋" w:hAnsi="仿宋" w:eastAsia="仿宋" w:cs="仿宋"/>
          <w:sz w:val="32"/>
          <w:szCs w:val="32"/>
          <w:lang w:val="en-US" w:eastAsia="zh-CN"/>
        </w:rPr>
        <w:t>月</w:t>
      </w:r>
      <w:r>
        <w:rPr>
          <w:rFonts w:hint="eastAsia" w:ascii="Times New Roman" w:hAnsi="Times New Roman" w:eastAsia="仿宋_GB2312" w:cs="Times New Roman"/>
          <w:sz w:val="32"/>
          <w:szCs w:val="32"/>
          <w:lang w:val="en-US" w:eastAsia="zh-CN"/>
        </w:rPr>
        <w:t>31</w:t>
      </w:r>
      <w:r>
        <w:rPr>
          <w:rFonts w:hint="eastAsia" w:ascii="仿宋" w:hAnsi="仿宋" w:eastAsia="仿宋" w:cs="仿宋"/>
          <w:sz w:val="32"/>
          <w:szCs w:val="32"/>
          <w:lang w:val="en-US" w:eastAsia="zh-CN"/>
        </w:rPr>
        <w:t>日，项目实施单位支付工程款</w:t>
      </w:r>
      <w:r>
        <w:rPr>
          <w:rFonts w:hint="eastAsia" w:ascii="Times New Roman" w:hAnsi="Times New Roman" w:eastAsia="仿宋_GB2312" w:cs="Times New Roman"/>
          <w:sz w:val="32"/>
          <w:szCs w:val="32"/>
          <w:lang w:val="en-US" w:eastAsia="zh-CN"/>
        </w:rPr>
        <w:t>114.66</w:t>
      </w:r>
      <w:r>
        <w:rPr>
          <w:rFonts w:hint="eastAsia" w:ascii="仿宋" w:hAnsi="仿宋" w:eastAsia="仿宋" w:cs="仿宋"/>
          <w:sz w:val="32"/>
          <w:szCs w:val="32"/>
          <w:lang w:val="en-US" w:eastAsia="zh-CN"/>
        </w:rPr>
        <w:t>万元，其他费用</w:t>
      </w:r>
      <w:r>
        <w:rPr>
          <w:rFonts w:hint="eastAsia" w:ascii="Times New Roman" w:hAnsi="Times New Roman" w:eastAsia="仿宋_GB2312" w:cs="Times New Roman"/>
          <w:sz w:val="32"/>
          <w:szCs w:val="32"/>
          <w:lang w:val="en-US" w:eastAsia="zh-CN"/>
        </w:rPr>
        <w:t>2.42</w:t>
      </w:r>
      <w:r>
        <w:rPr>
          <w:rFonts w:hint="eastAsia" w:ascii="仿宋" w:hAnsi="仿宋" w:eastAsia="仿宋" w:cs="仿宋"/>
          <w:sz w:val="32"/>
          <w:szCs w:val="32"/>
          <w:lang w:val="en-US" w:eastAsia="zh-CN"/>
        </w:rPr>
        <w:t>万元。工程款未按照资金拨付进行支付。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eastAsia="楷体_GB2312"/>
          <w:sz w:val="32"/>
          <w:szCs w:val="32"/>
          <w:highlight w:val="none"/>
        </w:rPr>
      </w:pPr>
      <w:r>
        <w:rPr>
          <w:rFonts w:hint="eastAsia" w:eastAsia="楷体_GB2312"/>
          <w:sz w:val="32"/>
          <w:szCs w:val="32"/>
          <w:highlight w:val="none"/>
        </w:rPr>
        <w:t>（二）项目管理制度不够健全。</w:t>
      </w:r>
      <w:r>
        <w:rPr>
          <w:rFonts w:hint="eastAsia" w:ascii="仿宋_GB2312" w:hAnsi="仿宋" w:eastAsia="仿宋_GB2312" w:cs="仿宋"/>
          <w:sz w:val="32"/>
          <w:szCs w:val="32"/>
          <w:lang w:val="en-US" w:eastAsia="zh-CN"/>
        </w:rPr>
        <w:t>经核实，</w:t>
      </w:r>
      <w:r>
        <w:rPr>
          <w:rFonts w:hint="eastAsia" w:ascii="仿宋_GB2312" w:hAnsi="仿宋" w:eastAsia="仿宋_GB2312" w:cs="仿宋"/>
          <w:sz w:val="32"/>
          <w:szCs w:val="32"/>
        </w:rPr>
        <w:t>项目实施单位制定了财务管理制度</w:t>
      </w:r>
      <w:r>
        <w:rPr>
          <w:rFonts w:hint="eastAsia" w:ascii="仿宋_GB2312" w:hAnsi="仿宋" w:eastAsia="仿宋_GB2312" w:cs="仿宋"/>
          <w:sz w:val="32"/>
          <w:szCs w:val="32"/>
          <w:lang w:val="en-US" w:eastAsia="zh-CN"/>
        </w:rPr>
        <w:t>和资金管理制度</w:t>
      </w:r>
      <w:r>
        <w:rPr>
          <w:rFonts w:hint="eastAsia" w:ascii="仿宋_GB2312" w:hAnsi="仿宋" w:eastAsia="仿宋_GB2312" w:cs="仿宋"/>
          <w:sz w:val="32"/>
          <w:szCs w:val="32"/>
        </w:rPr>
        <w:t>，且制度较为完整</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项目实施单位在项目实施过程中，</w:t>
      </w:r>
      <w:r>
        <w:rPr>
          <w:rFonts w:hint="eastAsia" w:ascii="仿宋_GB2312" w:hAnsi="仿宋" w:eastAsia="仿宋_GB2312" w:cs="仿宋"/>
          <w:sz w:val="32"/>
          <w:szCs w:val="32"/>
          <w:lang w:val="en-US" w:eastAsia="zh-CN"/>
        </w:rPr>
        <w:t>制定了项目监理制度、项目合同管理制度、项目绩效评价制度、项目公告公示制度、项目管理法人制度、项目招标投标制度和安全生产责任制等相关业务管理制度，但</w:t>
      </w:r>
      <w:r>
        <w:rPr>
          <w:rFonts w:hint="eastAsia" w:ascii="仿宋_GB2312" w:hAnsi="仿宋" w:eastAsia="仿宋_GB2312" w:cs="仿宋"/>
          <w:sz w:val="32"/>
          <w:szCs w:val="32"/>
        </w:rPr>
        <w:t>未制定后期运维管理制度，不利于</w:t>
      </w:r>
      <w:r>
        <w:rPr>
          <w:rFonts w:hint="eastAsia" w:ascii="仿宋_GB2312" w:hAnsi="仿宋" w:eastAsia="仿宋_GB2312" w:cs="仿宋"/>
          <w:sz w:val="32"/>
          <w:szCs w:val="32"/>
          <w:lang w:val="en-US" w:eastAsia="zh-CN"/>
        </w:rPr>
        <w:t>质控</w:t>
      </w:r>
      <w:r>
        <w:rPr>
          <w:rFonts w:hint="eastAsia" w:ascii="仿宋_GB2312" w:hAnsi="仿宋" w:eastAsia="仿宋_GB2312" w:cs="仿宋"/>
          <w:sz w:val="32"/>
          <w:szCs w:val="32"/>
        </w:rPr>
        <w:t>考核</w:t>
      </w:r>
      <w:r>
        <w:rPr>
          <w:rFonts w:hint="eastAsia" w:ascii="仿宋_GB2312" w:hAnsi="仿宋" w:eastAsia="仿宋_GB2312" w:cs="仿宋"/>
          <w:sz w:val="32"/>
          <w:szCs w:val="32"/>
          <w:lang w:val="en-US" w:eastAsia="zh-CN"/>
        </w:rPr>
        <w:t>和评价</w:t>
      </w:r>
      <w:r>
        <w:rPr>
          <w:rFonts w:hint="eastAsia" w:ascii="仿宋_GB2312" w:hAnsi="仿宋" w:eastAsia="仿宋_GB2312" w:cs="仿宋"/>
          <w:sz w:val="32"/>
          <w:szCs w:val="32"/>
          <w:highlight w:val="none"/>
        </w:rPr>
        <w:t>。</w:t>
      </w:r>
    </w:p>
    <w:p>
      <w:pPr>
        <w:keepNext w:val="0"/>
        <w:keepLines w:val="0"/>
        <w:pageBreakBefore w:val="0"/>
        <w:widowControl w:val="0"/>
        <w:kinsoku/>
        <w:wordWrap/>
        <w:overflowPunct/>
        <w:topLinePunct w:val="0"/>
        <w:autoSpaceDE/>
        <w:autoSpaceDN/>
        <w:bidi w:val="0"/>
        <w:adjustRightInd/>
        <w:snapToGrid/>
        <w:ind w:left="240" w:leftChars="100" w:firstLine="640" w:firstLineChars="200"/>
        <w:textAlignment w:val="auto"/>
        <w:rPr>
          <w:rFonts w:eastAsia="楷体_GB2312"/>
          <w:sz w:val="32"/>
          <w:szCs w:val="32"/>
          <w:highlight w:val="yellow"/>
        </w:rPr>
      </w:pPr>
      <w:r>
        <w:rPr>
          <w:rFonts w:hint="eastAsia" w:eastAsia="楷体_GB2312"/>
          <w:sz w:val="32"/>
          <w:szCs w:val="32"/>
          <w:highlight w:val="none"/>
        </w:rPr>
        <w:t>（</w:t>
      </w:r>
      <w:r>
        <w:rPr>
          <w:rFonts w:hint="eastAsia" w:eastAsia="楷体_GB2312"/>
          <w:sz w:val="32"/>
          <w:szCs w:val="32"/>
          <w:highlight w:val="none"/>
          <w:lang w:val="en-US" w:eastAsia="zh-CN"/>
        </w:rPr>
        <w:t>三</w:t>
      </w:r>
      <w:r>
        <w:rPr>
          <w:rFonts w:hint="eastAsia" w:eastAsia="楷体_GB2312"/>
          <w:sz w:val="32"/>
          <w:szCs w:val="32"/>
          <w:highlight w:val="none"/>
        </w:rPr>
        <w:t>）后期维护管护有待提高。</w:t>
      </w:r>
      <w:r>
        <w:rPr>
          <w:rFonts w:hint="eastAsia" w:eastAsia="仿宋_GB2312"/>
          <w:sz w:val="32"/>
          <w:szCs w:val="32"/>
          <w:highlight w:val="none"/>
        </w:rPr>
        <w:t>评价组通过研读项目资料和项目核实，发现项目实施单位未制定项目后期维护管护制度或措施，不利于</w:t>
      </w:r>
      <w:r>
        <w:rPr>
          <w:rFonts w:hint="eastAsia" w:ascii="Times New Roman" w:hAnsi="Times New Roman" w:eastAsia="仿宋_GB2312" w:cs="仿宋_GB2312"/>
          <w:sz w:val="32"/>
          <w:szCs w:val="32"/>
          <w:highlight w:val="none"/>
        </w:rPr>
        <w:t>2019年平陆县圣人涧镇营村村一组至二组道路建设工程项目</w:t>
      </w:r>
      <w:r>
        <w:rPr>
          <w:rFonts w:hint="eastAsia" w:eastAsia="仿宋_GB2312"/>
          <w:sz w:val="32"/>
          <w:szCs w:val="32"/>
          <w:highlight w:val="none"/>
        </w:rPr>
        <w:t>后期质量跟踪和维护，不利于项目的可持续性。</w:t>
      </w:r>
    </w:p>
    <w:p>
      <w:pPr>
        <w:widowControl w:val="0"/>
        <w:ind w:firstLine="640" w:firstLineChars="200"/>
        <w:rPr>
          <w:rFonts w:ascii="黑体" w:hAnsi="黑体" w:eastAsia="黑体"/>
          <w:kern w:val="2"/>
          <w:sz w:val="32"/>
          <w:szCs w:val="32"/>
          <w:highlight w:val="none"/>
        </w:rPr>
      </w:pPr>
      <w:r>
        <w:rPr>
          <w:rFonts w:hint="eastAsia" w:ascii="黑体" w:hAnsi="黑体" w:eastAsia="黑体"/>
          <w:kern w:val="2"/>
          <w:sz w:val="32"/>
          <w:szCs w:val="32"/>
          <w:highlight w:val="none"/>
        </w:rPr>
        <w:t>九、相关建议</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eastAsia="楷体_GB2312"/>
          <w:sz w:val="32"/>
          <w:szCs w:val="32"/>
          <w:highlight w:val="none"/>
        </w:rPr>
      </w:pPr>
      <w:r>
        <w:rPr>
          <w:rFonts w:hint="eastAsia" w:eastAsia="楷体_GB2312"/>
          <w:sz w:val="32"/>
          <w:szCs w:val="32"/>
          <w:highlight w:val="none"/>
        </w:rPr>
        <w:t>（一）</w:t>
      </w:r>
      <w:r>
        <w:rPr>
          <w:rFonts w:hint="eastAsia" w:eastAsia="楷体_GB2312"/>
          <w:sz w:val="32"/>
          <w:szCs w:val="32"/>
          <w:highlight w:val="none"/>
          <w:lang w:val="en-US" w:eastAsia="zh-CN"/>
        </w:rPr>
        <w:t>提高预算执行率，避免资金闲置</w:t>
      </w:r>
      <w:r>
        <w:rPr>
          <w:rFonts w:hint="eastAsia" w:eastAsia="楷体_GB2312"/>
          <w:sz w:val="32"/>
          <w:szCs w:val="32"/>
          <w:highlight w:val="none"/>
        </w:rPr>
        <w:t>。</w:t>
      </w:r>
      <w:r>
        <w:rPr>
          <w:rFonts w:hint="eastAsia" w:eastAsia="仿宋_GB2312"/>
          <w:sz w:val="32"/>
          <w:szCs w:val="32"/>
          <w:highlight w:val="none"/>
        </w:rPr>
        <w:t>建议项目实施单位</w:t>
      </w:r>
      <w:r>
        <w:rPr>
          <w:rFonts w:hint="eastAsia" w:eastAsia="仿宋_GB2312"/>
          <w:sz w:val="32"/>
          <w:szCs w:val="32"/>
          <w:highlight w:val="none"/>
          <w:lang w:val="en-US" w:eastAsia="zh-CN"/>
        </w:rPr>
        <w:t>要针对资金结余情况，分析原因，有针对性的提出解决措施或办法，避免资金闲置；针对项目特点，提高资金支付效率。</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eastAsia="楷体_GB2312"/>
          <w:sz w:val="32"/>
          <w:szCs w:val="32"/>
          <w:highlight w:val="none"/>
        </w:rPr>
      </w:pPr>
      <w:r>
        <w:rPr>
          <w:rFonts w:hint="eastAsia" w:eastAsia="楷体_GB2312"/>
          <w:sz w:val="32"/>
          <w:szCs w:val="32"/>
          <w:highlight w:val="none"/>
        </w:rPr>
        <w:t>（二）健全项目管理制度，提高制度执行力度。</w:t>
      </w:r>
      <w:r>
        <w:rPr>
          <w:rFonts w:hint="eastAsia" w:eastAsia="仿宋_GB2312"/>
          <w:sz w:val="32"/>
          <w:szCs w:val="32"/>
          <w:highlight w:val="none"/>
        </w:rPr>
        <w:t>制度建设是项目管理的前提和保障。建议项目实施单位根据项目特点，建立健全和不断完善制度管理体系。要将制度建设放在加强项目管理的首要位置，建立健全后期运维管理制度，强化制度约束力，提高制度执行力，从源头上杜绝各类违规现象和行为的发生。</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eastAsia="仿宋_GB2312"/>
          <w:sz w:val="32"/>
          <w:szCs w:val="32"/>
          <w:highlight w:val="none"/>
        </w:rPr>
      </w:pPr>
      <w:r>
        <w:rPr>
          <w:rFonts w:hint="eastAsia" w:eastAsia="楷体_GB2312"/>
          <w:sz w:val="32"/>
          <w:szCs w:val="32"/>
          <w:highlight w:val="none"/>
        </w:rPr>
        <w:t>（</w:t>
      </w:r>
      <w:r>
        <w:rPr>
          <w:rFonts w:hint="eastAsia" w:eastAsia="楷体_GB2312"/>
          <w:sz w:val="32"/>
          <w:szCs w:val="32"/>
          <w:highlight w:val="none"/>
          <w:lang w:val="en-US" w:eastAsia="zh-CN"/>
        </w:rPr>
        <w:t>三</w:t>
      </w:r>
      <w:r>
        <w:rPr>
          <w:rFonts w:hint="eastAsia" w:eastAsia="楷体_GB2312"/>
          <w:sz w:val="32"/>
          <w:szCs w:val="32"/>
          <w:highlight w:val="none"/>
        </w:rPr>
        <w:t>）提高后期管护管理。</w:t>
      </w:r>
      <w:r>
        <w:rPr>
          <w:rFonts w:hint="eastAsia" w:eastAsia="仿宋_GB2312"/>
          <w:sz w:val="32"/>
          <w:szCs w:val="32"/>
          <w:highlight w:val="none"/>
        </w:rPr>
        <w:t>建议项目实施单位，提高项目后期维护管护意识，针对项目特点，建立健全项目后期各类维护管护制度，明确管护责任，加强监督检查，有效保障项目质量可持续性。</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方正小标宋简体" w:cs="黑体"/>
          <w:sz w:val="44"/>
          <w:szCs w:val="44"/>
        </w:rPr>
      </w:pPr>
      <w:r>
        <w:rPr>
          <w:rFonts w:hint="eastAsia" w:ascii="Times New Roman" w:hAnsi="Times New Roman" w:eastAsia="方正小标宋简体" w:cs="黑体"/>
          <w:sz w:val="44"/>
          <w:szCs w:val="44"/>
        </w:rPr>
        <w:t>2019年平陆县圣人涧镇营村村一组至二组</w:t>
      </w: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方正小标宋简体" w:cs="黑体"/>
          <w:sz w:val="44"/>
          <w:szCs w:val="44"/>
        </w:rPr>
      </w:pPr>
      <w:r>
        <w:rPr>
          <w:rFonts w:hint="eastAsia" w:ascii="Times New Roman" w:hAnsi="Times New Roman" w:eastAsia="方正小标宋简体" w:cs="黑体"/>
          <w:sz w:val="44"/>
          <w:szCs w:val="44"/>
        </w:rPr>
        <w:t>道路建设工程项目支出绩效评价报告</w:t>
      </w:r>
    </w:p>
    <w:p>
      <w:pPr>
        <w:pStyle w:val="2"/>
      </w:pPr>
    </w:p>
    <w:p>
      <w:pPr>
        <w:widowControl w:val="0"/>
        <w:ind w:firstLine="640" w:firstLineChars="200"/>
        <w:jc w:val="left"/>
        <w:rPr>
          <w:rFonts w:ascii="Times New Roman" w:hAnsi="Times New Roman" w:eastAsia="仿宋_GB2312" w:cs="仿宋_GB2312"/>
          <w:sz w:val="32"/>
          <w:szCs w:val="32"/>
        </w:rPr>
      </w:pPr>
      <w:r>
        <w:rPr>
          <w:rFonts w:hint="eastAsia" w:ascii="仿宋_GB2312" w:hAnsi="仿宋_GB2312" w:eastAsia="仿宋_GB2312" w:cs="仿宋_GB2312"/>
          <w:sz w:val="32"/>
          <w:szCs w:val="32"/>
        </w:rPr>
        <w:t>为了深入贯彻落实《财政部关于贯彻落实&lt;中共中央国务院关于全面实施预算绩效管理的意见&gt;的通知》(财预〔</w:t>
      </w:r>
      <w:r>
        <w:rPr>
          <w:rFonts w:hint="eastAsia" w:ascii="Times New Roman" w:hAnsi="Times New Roman" w:eastAsia="仿宋_GB2312" w:cs="仿宋_GB2312"/>
          <w:sz w:val="32"/>
          <w:szCs w:val="32"/>
        </w:rPr>
        <w:t>2018</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167</w:t>
      </w:r>
      <w:r>
        <w:rPr>
          <w:rFonts w:hint="eastAsia" w:ascii="仿宋_GB2312" w:hAnsi="仿宋_GB2312" w:eastAsia="仿宋_GB2312" w:cs="仿宋_GB2312"/>
          <w:sz w:val="32"/>
          <w:szCs w:val="32"/>
        </w:rPr>
        <w:t>号)和</w:t>
      </w:r>
      <w:r>
        <w:rPr>
          <w:rFonts w:ascii="仿宋_GB2312" w:hAnsi="仿宋_GB2312" w:eastAsia="仿宋_GB2312" w:cs="仿宋_GB2312"/>
          <w:sz w:val="32"/>
          <w:szCs w:val="32"/>
        </w:rPr>
        <w:t>《财政部关于印发&lt;项目支出绩效评价管理办法&gt;的通知》（财预〔</w:t>
      </w:r>
      <w:r>
        <w:rPr>
          <w:rFonts w:ascii="Times New Roman" w:hAnsi="Times New Roman" w:eastAsia="仿宋_GB2312" w:cs="仿宋_GB2312"/>
          <w:sz w:val="32"/>
          <w:szCs w:val="32"/>
        </w:rPr>
        <w:t>2020</w:t>
      </w:r>
      <w:r>
        <w:rPr>
          <w:rFonts w:ascii="仿宋_GB2312" w:hAnsi="仿宋_GB2312" w:eastAsia="仿宋_GB2312" w:cs="仿宋_GB2312"/>
          <w:sz w:val="32"/>
          <w:szCs w:val="32"/>
        </w:rPr>
        <w:t>〕</w:t>
      </w:r>
      <w:r>
        <w:rPr>
          <w:rFonts w:ascii="Times New Roman" w:hAnsi="Times New Roman" w:eastAsia="仿宋_GB2312" w:cs="仿宋_GB2312"/>
          <w:sz w:val="32"/>
          <w:szCs w:val="32"/>
        </w:rPr>
        <w:t>10</w:t>
      </w:r>
      <w:r>
        <w:rPr>
          <w:rFonts w:ascii="仿宋_GB2312" w:hAnsi="仿宋_GB2312" w:eastAsia="仿宋_GB2312" w:cs="仿宋_GB2312"/>
          <w:sz w:val="32"/>
          <w:szCs w:val="32"/>
        </w:rPr>
        <w:t>号）</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《山西省财政厅关于贯彻落实&lt;中共山西省委 山西省人民政府关于全面实施预算绩效管理的实施意见&gt;的通知》（晋财绩〔</w:t>
      </w:r>
      <w:r>
        <w:rPr>
          <w:rFonts w:ascii="Times New Roman" w:hAnsi="Times New Roman" w:eastAsia="仿宋_GB2312" w:cs="仿宋_GB2312"/>
          <w:sz w:val="32"/>
          <w:szCs w:val="32"/>
        </w:rPr>
        <w:t>2019</w:t>
      </w:r>
      <w:r>
        <w:rPr>
          <w:rFonts w:ascii="仿宋_GB2312" w:hAnsi="仿宋_GB2312" w:eastAsia="仿宋_GB2312" w:cs="仿宋_GB2312"/>
          <w:sz w:val="32"/>
          <w:szCs w:val="32"/>
        </w:rPr>
        <w:t>〕</w:t>
      </w:r>
      <w:r>
        <w:rPr>
          <w:rFonts w:ascii="Times New Roman" w:hAnsi="Times New Roman" w:eastAsia="仿宋_GB2312" w:cs="仿宋_GB2312"/>
          <w:sz w:val="32"/>
          <w:szCs w:val="32"/>
        </w:rPr>
        <w:t>12</w:t>
      </w:r>
      <w:r>
        <w:rPr>
          <w:rFonts w:ascii="仿宋_GB2312" w:hAnsi="仿宋_GB2312" w:eastAsia="仿宋_GB2312" w:cs="仿宋_GB2312"/>
          <w:sz w:val="32"/>
          <w:szCs w:val="32"/>
        </w:rPr>
        <w:t>号）</w:t>
      </w:r>
      <w:r>
        <w:rPr>
          <w:rFonts w:hint="eastAsia" w:ascii="仿宋_GB2312" w:hAnsi="仿宋_GB2312" w:eastAsia="仿宋_GB2312" w:cs="仿宋_GB2312"/>
          <w:sz w:val="32"/>
          <w:szCs w:val="32"/>
        </w:rPr>
        <w:t>关于“全面实施预算绩效管理”的要求，按照《平陆县财政局关于开展〈</w:t>
      </w:r>
      <w:r>
        <w:rPr>
          <w:rFonts w:ascii="Times New Roman" w:hAnsi="Times New Roman" w:eastAsia="仿宋_GB2312" w:cs="仿宋_GB2312"/>
          <w:sz w:val="32"/>
          <w:szCs w:val="32"/>
        </w:rPr>
        <w:t>2019</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度财政支出</w:t>
      </w:r>
      <w:r>
        <w:rPr>
          <w:rFonts w:ascii="仿宋_GB2312" w:hAnsi="仿宋_GB2312" w:eastAsia="仿宋_GB2312" w:cs="仿宋_GB2312"/>
          <w:sz w:val="32"/>
          <w:szCs w:val="32"/>
        </w:rPr>
        <w:t>绩效评价</w:t>
      </w:r>
      <w:r>
        <w:rPr>
          <w:rFonts w:hint="eastAsia" w:ascii="仿宋_GB2312" w:hAnsi="仿宋_GB2312" w:eastAsia="仿宋_GB2312" w:cs="仿宋_GB2312"/>
          <w:sz w:val="32"/>
          <w:szCs w:val="32"/>
        </w:rPr>
        <w:t>工作</w:t>
      </w:r>
      <w:r>
        <w:rPr>
          <w:rFonts w:ascii="仿宋_GB2312" w:hAnsi="仿宋_GB2312" w:eastAsia="仿宋_GB2312" w:cs="仿宋_GB2312"/>
          <w:sz w:val="32"/>
          <w:szCs w:val="32"/>
        </w:rPr>
        <w:t>〉的通知》(</w:t>
      </w:r>
      <w:r>
        <w:rPr>
          <w:rFonts w:hint="eastAsia" w:ascii="仿宋_GB2312" w:hAnsi="仿宋_GB2312" w:eastAsia="仿宋_GB2312" w:cs="仿宋_GB2312"/>
          <w:sz w:val="32"/>
          <w:szCs w:val="32"/>
        </w:rPr>
        <w:t>平</w:t>
      </w:r>
      <w:r>
        <w:rPr>
          <w:rFonts w:ascii="仿宋_GB2312" w:hAnsi="仿宋_GB2312" w:eastAsia="仿宋_GB2312" w:cs="仿宋_GB2312"/>
          <w:sz w:val="32"/>
          <w:szCs w:val="32"/>
        </w:rPr>
        <w:t>财</w:t>
      </w:r>
      <w:r>
        <w:rPr>
          <w:rFonts w:hint="eastAsia" w:ascii="仿宋_GB2312" w:hAnsi="仿宋_GB2312" w:eastAsia="仿宋_GB2312" w:cs="仿宋_GB2312"/>
          <w:sz w:val="32"/>
          <w:szCs w:val="32"/>
        </w:rPr>
        <w:t>绩</w:t>
      </w:r>
      <w:r>
        <w:rPr>
          <w:rFonts w:ascii="仿宋_GB2312" w:hAnsi="仿宋_GB2312" w:eastAsia="仿宋_GB2312" w:cs="仿宋_GB2312"/>
          <w:sz w:val="32"/>
          <w:szCs w:val="32"/>
        </w:rPr>
        <w:t>字〔</w:t>
      </w:r>
      <w:r>
        <w:rPr>
          <w:rFonts w:ascii="Times New Roman" w:hAnsi="Times New Roman" w:eastAsia="仿宋_GB2312" w:cs="仿宋_GB2312"/>
          <w:sz w:val="32"/>
          <w:szCs w:val="32"/>
        </w:rPr>
        <w:t>2020</w:t>
      </w:r>
      <w:r>
        <w:rPr>
          <w:rFonts w:ascii="仿宋_GB2312" w:hAnsi="仿宋_GB2312" w:eastAsia="仿宋_GB2312" w:cs="仿宋_GB2312"/>
          <w:sz w:val="32"/>
          <w:szCs w:val="32"/>
        </w:rPr>
        <w:t>〕</w:t>
      </w:r>
      <w:r>
        <w:rPr>
          <w:rFonts w:ascii="Times New Roman" w:hAnsi="Times New Roman" w:eastAsia="仿宋_GB2312" w:cs="仿宋_GB2312"/>
          <w:sz w:val="32"/>
          <w:szCs w:val="32"/>
        </w:rPr>
        <w:t>5</w:t>
      </w:r>
      <w:r>
        <w:rPr>
          <w:rFonts w:ascii="仿宋_GB2312" w:hAnsi="仿宋_GB2312" w:eastAsia="仿宋_GB2312" w:cs="仿宋_GB2312"/>
          <w:sz w:val="32"/>
          <w:szCs w:val="32"/>
        </w:rPr>
        <w:t>号)</w:t>
      </w:r>
      <w:r>
        <w:rPr>
          <w:rFonts w:hint="eastAsia" w:ascii="仿宋_GB2312" w:hAnsi="仿宋" w:eastAsia="仿宋_GB2312" w:cs="Times New Roman"/>
          <w:sz w:val="32"/>
          <w:szCs w:val="32"/>
        </w:rPr>
        <w:t>文件</w:t>
      </w:r>
      <w:r>
        <w:rPr>
          <w:rFonts w:hint="eastAsia" w:ascii="仿宋_GB2312" w:hAnsi="仿宋" w:eastAsia="仿宋_GB2312"/>
          <w:sz w:val="32"/>
          <w:szCs w:val="32"/>
        </w:rPr>
        <w:t>规</w:t>
      </w:r>
      <w:r>
        <w:rPr>
          <w:rFonts w:hint="eastAsia" w:ascii="仿宋_GB2312" w:hAnsi="仿宋" w:eastAsia="仿宋_GB2312" w:cs="MS Gothic"/>
          <w:sz w:val="32"/>
          <w:szCs w:val="32"/>
        </w:rPr>
        <w:t>定</w:t>
      </w:r>
      <w:r>
        <w:rPr>
          <w:rFonts w:hint="eastAsia" w:ascii="仿宋_GB2312" w:hAnsi="仿宋" w:eastAsia="仿宋_GB2312" w:cs="仿宋"/>
          <w:sz w:val="32"/>
          <w:szCs w:val="32"/>
        </w:rPr>
        <w:t>，</w:t>
      </w:r>
      <w:r>
        <w:rPr>
          <w:rFonts w:hint="eastAsia" w:ascii="仿宋_GB2312" w:hAnsi="仿宋_GB2312" w:eastAsia="仿宋_GB2312" w:cs="仿宋_GB2312"/>
          <w:sz w:val="32"/>
          <w:szCs w:val="32"/>
        </w:rPr>
        <w:t>山西国元会计师事务所（有限公司）</w:t>
      </w:r>
      <w:r>
        <w:rPr>
          <w:rFonts w:hint="eastAsia" w:ascii="仿宋_GB2312" w:hAnsi="仿宋" w:eastAsia="仿宋_GB2312" w:cs="仿宋"/>
          <w:sz w:val="32"/>
          <w:szCs w:val="32"/>
        </w:rPr>
        <w:t>受</w:t>
      </w:r>
      <w:r>
        <w:rPr>
          <w:rFonts w:hint="eastAsia" w:ascii="仿宋" w:hAnsi="仿宋" w:eastAsia="仿宋_GB2312" w:cs="Times New Roman"/>
          <w:sz w:val="32"/>
          <w:szCs w:val="32"/>
        </w:rPr>
        <w:t>平陆县</w:t>
      </w:r>
      <w:r>
        <w:rPr>
          <w:rFonts w:hint="eastAsia" w:ascii="仿宋" w:hAnsi="仿宋" w:eastAsia="仿宋_GB2312"/>
          <w:sz w:val="32"/>
          <w:szCs w:val="32"/>
        </w:rPr>
        <w:t>财</w:t>
      </w:r>
      <w:r>
        <w:rPr>
          <w:rFonts w:hint="eastAsia" w:ascii="仿宋" w:hAnsi="仿宋" w:eastAsia="仿宋_GB2312" w:cs="MS Gothic"/>
          <w:sz w:val="32"/>
          <w:szCs w:val="32"/>
        </w:rPr>
        <w:t>政局</w:t>
      </w:r>
      <w:r>
        <w:rPr>
          <w:rFonts w:hint="eastAsia" w:ascii="仿宋_GB2312" w:hAnsi="仿宋" w:eastAsia="仿宋_GB2312" w:cs="仿宋"/>
          <w:sz w:val="32"/>
          <w:szCs w:val="32"/>
        </w:rPr>
        <w:t>的委托，于</w:t>
      </w:r>
      <w:r>
        <w:rPr>
          <w:rFonts w:hint="eastAsia" w:ascii="Times New Roman" w:hAnsi="Times New Roman" w:eastAsia="仿宋_GB2312" w:cs="仿宋"/>
          <w:sz w:val="32"/>
          <w:szCs w:val="32"/>
        </w:rPr>
        <w:t>2020</w:t>
      </w:r>
      <w:r>
        <w:rPr>
          <w:rFonts w:hint="eastAsia" w:ascii="仿宋_GB2312" w:hAnsi="仿宋" w:eastAsia="仿宋_GB2312" w:cs="仿宋"/>
          <w:sz w:val="32"/>
          <w:szCs w:val="32"/>
        </w:rPr>
        <w:t>年</w:t>
      </w:r>
      <w:r>
        <w:rPr>
          <w:rFonts w:hint="eastAsia" w:ascii="Times New Roman" w:hAnsi="Times New Roman" w:eastAsia="仿宋_GB2312" w:cs="仿宋"/>
          <w:sz w:val="32"/>
          <w:szCs w:val="32"/>
        </w:rPr>
        <w:t>9</w:t>
      </w:r>
      <w:r>
        <w:rPr>
          <w:rFonts w:hint="eastAsia" w:ascii="仿宋_GB2312" w:hAnsi="仿宋" w:eastAsia="仿宋_GB2312" w:cs="仿宋"/>
          <w:sz w:val="32"/>
          <w:szCs w:val="32"/>
        </w:rPr>
        <w:t>月-</w:t>
      </w:r>
      <w:r>
        <w:rPr>
          <w:rFonts w:hint="eastAsia" w:ascii="Times New Roman" w:hAnsi="Times New Roman" w:eastAsia="仿宋_GB2312" w:cs="仿宋"/>
          <w:sz w:val="32"/>
          <w:szCs w:val="32"/>
        </w:rPr>
        <w:t>11</w:t>
      </w:r>
      <w:r>
        <w:rPr>
          <w:rFonts w:hint="eastAsia" w:ascii="仿宋_GB2312" w:hAnsi="仿宋" w:eastAsia="仿宋_GB2312" w:cs="仿宋"/>
          <w:sz w:val="32"/>
          <w:szCs w:val="32"/>
        </w:rPr>
        <w:t>月对</w:t>
      </w:r>
      <w:r>
        <w:rPr>
          <w:rFonts w:hint="eastAsia" w:ascii="Times New Roman" w:hAnsi="Times New Roman" w:eastAsia="仿宋_GB2312" w:cs="仿宋_GB2312"/>
          <w:sz w:val="32"/>
          <w:szCs w:val="32"/>
        </w:rPr>
        <w:t>2019年平陆县圣人涧镇营村村一组至二组道路建设工程项目</w:t>
      </w:r>
      <w:r>
        <w:rPr>
          <w:rFonts w:hint="eastAsia" w:ascii="仿宋_GB2312" w:hAnsi="仿宋_GB2312" w:eastAsia="仿宋_GB2312" w:cs="仿宋_GB2312"/>
          <w:sz w:val="32"/>
          <w:szCs w:val="32"/>
        </w:rPr>
        <w:t>进行了绩效评价。现将有关情况报告如下：</w:t>
      </w:r>
    </w:p>
    <w:p>
      <w:pPr>
        <w:pStyle w:val="3"/>
        <w:widowControl w:val="0"/>
        <w:tabs>
          <w:tab w:val="right" w:pos="8306"/>
        </w:tabs>
        <w:spacing w:line="360" w:lineRule="auto"/>
        <w:ind w:firstLine="640" w:firstLineChars="200"/>
      </w:pPr>
      <w:bookmarkStart w:id="3" w:name="_Toc13045368"/>
      <w:bookmarkStart w:id="4" w:name="_Toc15370"/>
      <w:r>
        <w:rPr>
          <w:rFonts w:hint="eastAsia"/>
        </w:rPr>
        <w:t>一、项目基本情况</w:t>
      </w:r>
      <w:bookmarkEnd w:id="3"/>
      <w:bookmarkEnd w:id="4"/>
    </w:p>
    <w:p>
      <w:pPr>
        <w:pStyle w:val="4"/>
        <w:widowControl w:val="0"/>
        <w:spacing w:line="360" w:lineRule="auto"/>
      </w:pPr>
      <w:bookmarkStart w:id="5" w:name="_Toc4724"/>
      <w:bookmarkStart w:id="6" w:name="_Toc13045369"/>
      <w:r>
        <w:rPr>
          <w:rFonts w:hint="eastAsia"/>
        </w:rPr>
        <w:t>（一）项目概况</w:t>
      </w:r>
      <w:bookmarkEnd w:id="5"/>
      <w:bookmarkEnd w:id="6"/>
    </w:p>
    <w:p>
      <w:pPr>
        <w:widowControl w:val="0"/>
        <w:ind w:firstLine="643" w:firstLineChars="200"/>
        <w:rPr>
          <w:rFonts w:ascii="仿宋_GB2312" w:hAnsi="仿宋_GB2312" w:eastAsia="仿宋_GB2312" w:cs="仿宋_GB2312"/>
          <w:b/>
          <w:bCs/>
          <w:sz w:val="32"/>
          <w:szCs w:val="32"/>
        </w:rPr>
      </w:pPr>
      <w:r>
        <w:rPr>
          <w:rFonts w:hint="eastAsia" w:ascii="Times New Roman" w:hAnsi="Times New Roman" w:eastAsia="仿宋" w:cs="仿宋"/>
          <w:b/>
          <w:sz w:val="32"/>
          <w:szCs w:val="32"/>
        </w:rPr>
        <w:t>1</w:t>
      </w:r>
      <w:r>
        <w:rPr>
          <w:rFonts w:hint="eastAsia" w:ascii="仿宋" w:hAnsi="仿宋" w:eastAsia="仿宋" w:cs="仿宋"/>
          <w:b/>
          <w:sz w:val="32"/>
          <w:szCs w:val="32"/>
        </w:rPr>
        <w:t>.项目立项背景</w:t>
      </w:r>
    </w:p>
    <w:p>
      <w:pPr>
        <w:pStyle w:val="2"/>
        <w:spacing w:after="0"/>
        <w:ind w:firstLine="640" w:firstLineChars="200"/>
        <w:rPr>
          <w:rFonts w:ascii="Times New Roman" w:hAnsi="Times New Roman" w:eastAsia="仿宋_GB2312" w:cs="仿宋_GB2312"/>
          <w:sz w:val="32"/>
          <w:szCs w:val="32"/>
        </w:rPr>
      </w:pPr>
      <w:bookmarkStart w:id="7" w:name="_Toc478814011"/>
      <w:bookmarkStart w:id="8" w:name="_Toc512610826"/>
      <w:bookmarkStart w:id="9" w:name="_Toc2490"/>
      <w:r>
        <w:rPr>
          <w:rFonts w:hint="eastAsia" w:ascii="Times New Roman" w:hAnsi="Times New Roman" w:eastAsia="仿宋_GB2312" w:cs="仿宋_GB2312"/>
          <w:sz w:val="32"/>
          <w:szCs w:val="32"/>
        </w:rPr>
        <w:t>2015年11月27号至28号，中央扶贫开发工作会议会议通过了《中共中央、国务院关于打赢脱贫攻坚战的决定》。《决定》明确提出：到2020年，稳定实现农村贫困人口不愁吃、不愁穿，义务教育、基本医疗和住房安全有保障。实现贫困地区农民人均可支配收入增长幅度高于全国平均水平，基本公共服务主要领域指标接近全国平均水平。确保我国现行标准下农村贫困人口实现脱贫，贫困县全部摘帽，解决区域性整体贫困。两个“实现”、一个“确保”，是“十三五”期间必须确保完成的脱贫攻坚总体目标。</w:t>
      </w:r>
    </w:p>
    <w:p>
      <w:pPr>
        <w:pStyle w:val="2"/>
        <w:snapToGrid w:val="0"/>
        <w:spacing w:after="0"/>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2016年7月，山西省委、省政府印发《关于坚决打赢全省脱贫攻坚战的实施意见》（晋发〔2016〕23号），《实施意见》突出强调了打赢全省脱贫攻坚战的重大意义和目标任务，提出了“到2020年具备条件的乡镇和建制村通班车，畅通贫困地区内部“微循环”，实现贫困地区交通外通内联、通村畅乡、班车到村、安全便捷”的总体目标，并明确省交通厅和省发改委为交通扶贫行动的牵头单位。</w:t>
      </w:r>
    </w:p>
    <w:p>
      <w:pPr>
        <w:pStyle w:val="2"/>
        <w:spacing w:after="0"/>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2018年5月21日，山西省人民政府办公厅印发《关于深入推进“四好农村路”建设的实施意见》（晋政办发〔2018〕54号），《实施意见》提出,坚持新发展理念和高质量发展要求,以农村公路提档升级为目标，以三大板块、旅游公路建设为重点,以创新体制机制为动力，推动农村公路建设、管理、养护、运营协调发展,推进城乡交通运输一体化发展,为实施乡村振兴、脱贫攻坚和锻造黄河、长城、太行三大旅游板块等重大战略提供交通支撑。坚持五大原则，1、坚持政府主导、社会参与；2、坚持问题导向、突出重点；3、坚持统筹兼顾、协调推进；4、坚持保护生态、安全至上；5、坚持实事求是、效益优先。</w:t>
      </w:r>
    </w:p>
    <w:p>
      <w:pPr>
        <w:pStyle w:val="2"/>
        <w:spacing w:after="0"/>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平陆县是国家级贫困县，全县辖6镇4乡，133个行政村，人口26万人。平陆县营村位于县城北22公里处，2个居民组，共115户286口人，贫困户20户57人，属于贫困村。为贯彻落实《中共中央、国务院关于打赢脱贫攻坚战的决定》（中发〔2015〕34号）、中共山西省委、省政府印发《关于坚决打赢全省脱贫攻坚战的实施意见》（晋发〔2016〕23号）等文件精神，平陆县脱贫攻坚领导小组办公室印发《平陆县脱贫攻坚领导小组办公室关于下达2019年第一批涉农资金整合项目计划及相关立项审批事项的通知》（平脱贫攻坚组办〔2019〕7号），全县整合项目155个，资金20130.15万元，其中：圣人涧镇营村村一组至二组道路建设工程项目1个，项目总投资140万元，主要建设内容为道路建设长4.5公里、宽3.5米、厚18公分。</w:t>
      </w:r>
    </w:p>
    <w:p>
      <w:pPr>
        <w:ind w:firstLine="640" w:firstLineChars="200"/>
        <w:rPr>
          <w:rFonts w:ascii="仿宋_GB2312" w:hAnsi="仿宋_GB2312" w:eastAsia="仿宋_GB2312" w:cs="仿宋_GB2312"/>
          <w:sz w:val="32"/>
          <w:szCs w:val="32"/>
        </w:rPr>
      </w:pPr>
      <w:r>
        <w:rPr>
          <w:rFonts w:hint="eastAsia" w:ascii="Times New Roman" w:hAnsi="Times New Roman" w:eastAsia="仿宋_GB2312" w:cs="仿宋_GB2312"/>
          <w:sz w:val="32"/>
          <w:szCs w:val="32"/>
        </w:rPr>
        <w:t>2019年8月，平陆县脱贫攻坚领导小组办公室印发《平陆县脱贫攻坚领导小组办公室&lt;关于下达2019年第七批统筹整合财政资金使用计划&gt;的通知》（平脱贫攻坚组办〔2019〕32号），  下达平陆县统筹整合财政资金132.12万元，用于圣人涧镇营村村一组至二组道路建设长长4.5公里、宽3.5米、厚18公分。建设期2个月，2019年6月25日至2019年8月24日。</w:t>
      </w:r>
    </w:p>
    <w:p>
      <w:pPr>
        <w:ind w:firstLine="643" w:firstLineChars="200"/>
        <w:rPr>
          <w:rFonts w:ascii="仿宋_GB2312" w:hAnsi="仿宋_GB2312" w:eastAsia="仿宋_GB2312" w:cs="仿宋_GB2312"/>
          <w:sz w:val="32"/>
          <w:szCs w:val="32"/>
        </w:rPr>
      </w:pPr>
      <w:r>
        <w:rPr>
          <w:rFonts w:hint="eastAsia" w:ascii="Times New Roman" w:hAnsi="Times New Roman" w:eastAsia="仿宋" w:cs="仿宋"/>
          <w:b/>
          <w:sz w:val="32"/>
          <w:szCs w:val="32"/>
        </w:rPr>
        <w:t>2</w:t>
      </w:r>
      <w:r>
        <w:rPr>
          <w:rFonts w:hint="eastAsia" w:ascii="仿宋" w:hAnsi="仿宋" w:eastAsia="仿宋" w:cs="仿宋"/>
          <w:b/>
          <w:sz w:val="32"/>
          <w:szCs w:val="32"/>
        </w:rPr>
        <w:t>.</w:t>
      </w:r>
      <w:r>
        <w:rPr>
          <w:rFonts w:hint="eastAsia" w:ascii="仿宋_GB2312" w:hAnsi="仿宋_GB2312" w:eastAsia="仿宋_GB2312" w:cs="仿宋_GB2312"/>
          <w:b/>
          <w:sz w:val="32"/>
          <w:szCs w:val="32"/>
        </w:rPr>
        <w:t>立项目的：</w:t>
      </w:r>
      <w:r>
        <w:rPr>
          <w:rFonts w:hint="eastAsia" w:ascii="仿宋_GB2312" w:hAnsi="仿宋_GB2312" w:eastAsia="仿宋_GB2312" w:cs="仿宋_GB2312"/>
          <w:sz w:val="32"/>
          <w:szCs w:val="32"/>
        </w:rPr>
        <w:t>通过项目实施，使具备条件的建制村通硬化路、通客车,农村路网结构明显优化,技术状况和安全通行能力明显提升,养护管理全面加强,路产路权得到有效保护, 路域环境优美整洁,农村客运和物流服务体系得到完善,城乡交通一体化格局基本形成。</w:t>
      </w:r>
    </w:p>
    <w:p>
      <w:pPr>
        <w:pStyle w:val="4"/>
        <w:widowControl w:val="0"/>
        <w:spacing w:line="360" w:lineRule="auto"/>
      </w:pPr>
      <w:bookmarkStart w:id="10" w:name="_Toc12769"/>
      <w:r>
        <w:rPr>
          <w:rFonts w:hint="eastAsia"/>
        </w:rPr>
        <w:t>（二）项目立项依据</w:t>
      </w:r>
      <w:bookmarkEnd w:id="7"/>
      <w:bookmarkEnd w:id="8"/>
      <w:bookmarkEnd w:id="9"/>
      <w:bookmarkEnd w:id="10"/>
      <w:bookmarkStart w:id="11" w:name="_Toc512610827"/>
      <w:bookmarkStart w:id="12" w:name="_Hlk7442432"/>
      <w:bookmarkStart w:id="13" w:name="_Toc478814012"/>
      <w:bookmarkStart w:id="14" w:name="_Toc24377"/>
    </w:p>
    <w:p>
      <w:pPr>
        <w:widowControl w:val="0"/>
        <w:ind w:firstLine="640" w:firstLineChars="200"/>
        <w:rPr>
          <w:rFonts w:ascii="仿宋" w:hAnsi="仿宋" w:eastAsia="仿宋_GB2312"/>
          <w:sz w:val="32"/>
          <w:szCs w:val="32"/>
        </w:rPr>
      </w:pPr>
      <w:r>
        <w:rPr>
          <w:rFonts w:hint="eastAsia" w:ascii="Times New Roman" w:hAnsi="Times New Roman" w:eastAsia="仿宋" w:cs="仿宋"/>
          <w:sz w:val="32"/>
          <w:szCs w:val="32"/>
        </w:rPr>
        <w:t>1.</w:t>
      </w:r>
      <w:r>
        <w:rPr>
          <w:rFonts w:hint="eastAsia" w:ascii="仿宋_GB2312" w:hAnsi="Calibri" w:eastAsia="仿宋_GB2312" w:cs="Times New Roman"/>
          <w:kern w:val="2"/>
          <w:sz w:val="32"/>
          <w:szCs w:val="32"/>
        </w:rPr>
        <w:t xml:space="preserve"> </w:t>
      </w:r>
      <w:r>
        <w:rPr>
          <w:rFonts w:hint="eastAsia" w:ascii="仿宋" w:hAnsi="仿宋" w:eastAsia="仿宋_GB2312"/>
          <w:sz w:val="32"/>
          <w:szCs w:val="32"/>
        </w:rPr>
        <w:t>中共中央、国务院《关于打赢脱贫攻坚战的决定》（中发〔</w:t>
      </w:r>
      <w:r>
        <w:rPr>
          <w:rFonts w:hint="eastAsia" w:ascii="Times New Roman" w:hAnsi="Times New Roman" w:eastAsia="仿宋_GB2312" w:cs="仿宋_GB2312"/>
          <w:sz w:val="32"/>
          <w:szCs w:val="32"/>
        </w:rPr>
        <w:t>2015</w:t>
      </w:r>
      <w:r>
        <w:rPr>
          <w:rFonts w:hint="eastAsia" w:ascii="仿宋" w:hAnsi="仿宋" w:eastAsia="仿宋_GB2312"/>
          <w:sz w:val="32"/>
          <w:szCs w:val="32"/>
        </w:rPr>
        <w:t>〕</w:t>
      </w:r>
      <w:r>
        <w:rPr>
          <w:rFonts w:hint="eastAsia" w:ascii="Times New Roman" w:hAnsi="Times New Roman" w:eastAsia="仿宋_GB2312" w:cs="仿宋_GB2312"/>
          <w:sz w:val="32"/>
          <w:szCs w:val="32"/>
        </w:rPr>
        <w:t>34</w:t>
      </w:r>
      <w:r>
        <w:rPr>
          <w:rFonts w:hint="eastAsia" w:ascii="仿宋" w:hAnsi="仿宋" w:eastAsia="仿宋_GB2312"/>
          <w:sz w:val="32"/>
          <w:szCs w:val="32"/>
        </w:rPr>
        <w:t xml:space="preserve">号）； </w:t>
      </w:r>
    </w:p>
    <w:p>
      <w:pPr>
        <w:widowControl w:val="0"/>
        <w:ind w:firstLine="640" w:firstLineChars="200"/>
        <w:rPr>
          <w:rFonts w:ascii="仿宋" w:hAnsi="仿宋" w:eastAsia="仿宋_GB2312"/>
          <w:sz w:val="32"/>
          <w:szCs w:val="32"/>
        </w:rPr>
      </w:pPr>
      <w:r>
        <w:rPr>
          <w:rFonts w:hint="eastAsia" w:ascii="Times New Roman" w:hAnsi="Times New Roman" w:eastAsia="仿宋" w:cs="仿宋"/>
          <w:sz w:val="32"/>
          <w:szCs w:val="32"/>
        </w:rPr>
        <w:t>2.</w:t>
      </w:r>
      <w:r>
        <w:rPr>
          <w:rFonts w:hint="eastAsia" w:ascii="仿宋_GB2312" w:hAnsi="Calibri" w:eastAsia="仿宋_GB2312" w:cs="Times New Roman"/>
          <w:kern w:val="2"/>
          <w:sz w:val="32"/>
          <w:szCs w:val="32"/>
        </w:rPr>
        <w:t xml:space="preserve"> </w:t>
      </w:r>
      <w:r>
        <w:rPr>
          <w:rFonts w:hint="eastAsia" w:ascii="仿宋" w:hAnsi="仿宋" w:eastAsia="仿宋_GB2312"/>
          <w:sz w:val="32"/>
          <w:szCs w:val="32"/>
        </w:rPr>
        <w:t>国务院办公厅《关于支持贫困县开展统筹整合使用涉农资金试点的意见》（国办发〔</w:t>
      </w:r>
      <w:r>
        <w:rPr>
          <w:rFonts w:hint="eastAsia" w:ascii="Times New Roman" w:hAnsi="Times New Roman" w:eastAsia="仿宋_GB2312" w:cs="仿宋_GB2312"/>
          <w:sz w:val="32"/>
          <w:szCs w:val="32"/>
        </w:rPr>
        <w:t>2016</w:t>
      </w:r>
      <w:r>
        <w:rPr>
          <w:rFonts w:hint="eastAsia" w:ascii="仿宋" w:hAnsi="仿宋" w:eastAsia="仿宋_GB2312"/>
          <w:sz w:val="32"/>
          <w:szCs w:val="32"/>
        </w:rPr>
        <w:t>〕</w:t>
      </w:r>
      <w:r>
        <w:rPr>
          <w:rFonts w:hint="eastAsia" w:ascii="Times New Roman" w:hAnsi="Times New Roman" w:eastAsia="仿宋_GB2312" w:cs="仿宋_GB2312"/>
          <w:sz w:val="32"/>
          <w:szCs w:val="32"/>
        </w:rPr>
        <w:t>22</w:t>
      </w:r>
      <w:r>
        <w:rPr>
          <w:rFonts w:hint="eastAsia" w:ascii="仿宋" w:hAnsi="仿宋" w:eastAsia="仿宋_GB2312"/>
          <w:sz w:val="32"/>
          <w:szCs w:val="32"/>
        </w:rPr>
        <w:t>号）；</w:t>
      </w:r>
    </w:p>
    <w:p>
      <w:pPr>
        <w:widowControl w:val="0"/>
        <w:ind w:firstLine="640" w:firstLineChars="200"/>
        <w:rPr>
          <w:rFonts w:ascii="仿宋" w:hAnsi="仿宋" w:eastAsia="仿宋_GB2312"/>
          <w:sz w:val="32"/>
          <w:szCs w:val="32"/>
        </w:rPr>
      </w:pPr>
      <w:r>
        <w:rPr>
          <w:rFonts w:hint="eastAsia" w:ascii="Times New Roman" w:hAnsi="Times New Roman" w:eastAsia="仿宋" w:cs="仿宋"/>
          <w:sz w:val="32"/>
          <w:szCs w:val="32"/>
        </w:rPr>
        <w:t>3.</w:t>
      </w:r>
      <w:r>
        <w:rPr>
          <w:rFonts w:hint="eastAsia" w:ascii="仿宋_GB2312" w:hAnsi="Calibri" w:eastAsia="仿宋_GB2312" w:cs="Times New Roman"/>
          <w:kern w:val="2"/>
          <w:sz w:val="32"/>
          <w:szCs w:val="32"/>
        </w:rPr>
        <w:t xml:space="preserve"> </w:t>
      </w:r>
      <w:r>
        <w:rPr>
          <w:rFonts w:hint="eastAsia" w:ascii="仿宋" w:hAnsi="仿宋" w:eastAsia="仿宋_GB2312"/>
          <w:sz w:val="32"/>
          <w:szCs w:val="32"/>
        </w:rPr>
        <w:t>中共山西省委、山西省人民政府《关于坚决打赢全省脱贫攻坚战的实施意见》（晋发〔</w:t>
      </w:r>
      <w:r>
        <w:rPr>
          <w:rFonts w:hint="eastAsia" w:ascii="Times New Roman" w:hAnsi="Times New Roman" w:eastAsia="仿宋_GB2312" w:cs="仿宋_GB2312"/>
          <w:sz w:val="32"/>
          <w:szCs w:val="32"/>
        </w:rPr>
        <w:t>2016</w:t>
      </w:r>
      <w:r>
        <w:rPr>
          <w:rFonts w:hint="eastAsia" w:ascii="仿宋" w:hAnsi="仿宋" w:eastAsia="仿宋_GB2312"/>
          <w:sz w:val="32"/>
          <w:szCs w:val="32"/>
        </w:rPr>
        <w:t>〕</w:t>
      </w:r>
      <w:r>
        <w:rPr>
          <w:rFonts w:hint="eastAsia" w:ascii="Times New Roman" w:hAnsi="Times New Roman" w:eastAsia="仿宋_GB2312" w:cs="仿宋_GB2312"/>
          <w:sz w:val="32"/>
          <w:szCs w:val="32"/>
        </w:rPr>
        <w:t>23</w:t>
      </w:r>
      <w:r>
        <w:rPr>
          <w:rFonts w:hint="eastAsia" w:ascii="仿宋" w:hAnsi="仿宋" w:eastAsia="仿宋_GB2312"/>
          <w:sz w:val="32"/>
          <w:szCs w:val="32"/>
        </w:rPr>
        <w:t>号）；</w:t>
      </w:r>
    </w:p>
    <w:p>
      <w:pPr>
        <w:widowControl w:val="0"/>
        <w:ind w:firstLine="640" w:firstLineChars="200"/>
        <w:rPr>
          <w:rFonts w:ascii="仿宋" w:hAnsi="仿宋" w:eastAsia="仿宋_GB2312"/>
          <w:sz w:val="32"/>
          <w:szCs w:val="32"/>
        </w:rPr>
      </w:pPr>
      <w:r>
        <w:rPr>
          <w:rFonts w:hint="eastAsia" w:ascii="Times New Roman" w:hAnsi="Times New Roman" w:eastAsia="仿宋" w:cs="仿宋"/>
          <w:sz w:val="32"/>
          <w:szCs w:val="32"/>
        </w:rPr>
        <w:t>4.</w:t>
      </w:r>
      <w:r>
        <w:rPr>
          <w:rFonts w:hint="eastAsia" w:ascii="仿宋_GB2312" w:hAnsi="Calibri" w:eastAsia="仿宋_GB2312" w:cs="Times New Roman"/>
          <w:kern w:val="2"/>
          <w:sz w:val="32"/>
          <w:szCs w:val="32"/>
        </w:rPr>
        <w:t xml:space="preserve"> </w:t>
      </w:r>
      <w:r>
        <w:rPr>
          <w:rFonts w:hint="eastAsia" w:ascii="仿宋" w:hAnsi="仿宋" w:eastAsia="仿宋_GB2312"/>
          <w:sz w:val="32"/>
          <w:szCs w:val="32"/>
        </w:rPr>
        <w:t>山西省人民政府办公厅《关于统筹整合使用财政资金实施精准扶贫的意见》（晋政办发〔</w:t>
      </w:r>
      <w:r>
        <w:rPr>
          <w:rFonts w:hint="eastAsia" w:ascii="Times New Roman" w:hAnsi="Times New Roman" w:eastAsia="仿宋_GB2312" w:cs="仿宋_GB2312"/>
          <w:sz w:val="32"/>
          <w:szCs w:val="32"/>
        </w:rPr>
        <w:t>2016</w:t>
      </w:r>
      <w:r>
        <w:rPr>
          <w:rFonts w:hint="eastAsia" w:ascii="仿宋" w:hAnsi="仿宋" w:eastAsia="仿宋_GB2312"/>
          <w:sz w:val="32"/>
          <w:szCs w:val="32"/>
        </w:rPr>
        <w:t>〕</w:t>
      </w:r>
      <w:r>
        <w:rPr>
          <w:rFonts w:hint="eastAsia" w:ascii="Times New Roman" w:hAnsi="Times New Roman" w:eastAsia="仿宋_GB2312" w:cs="仿宋_GB2312"/>
          <w:sz w:val="32"/>
          <w:szCs w:val="32"/>
        </w:rPr>
        <w:t>101</w:t>
      </w:r>
      <w:r>
        <w:rPr>
          <w:rFonts w:hint="eastAsia" w:ascii="仿宋" w:hAnsi="仿宋" w:eastAsia="仿宋_GB2312"/>
          <w:sz w:val="32"/>
          <w:szCs w:val="32"/>
        </w:rPr>
        <w:t>号）；</w:t>
      </w:r>
    </w:p>
    <w:p>
      <w:pPr>
        <w:widowControl w:val="0"/>
        <w:ind w:firstLine="640" w:firstLineChars="200"/>
        <w:rPr>
          <w:rFonts w:ascii="仿宋" w:hAnsi="仿宋" w:eastAsia="仿宋_GB2312"/>
          <w:sz w:val="32"/>
          <w:szCs w:val="32"/>
        </w:rPr>
      </w:pPr>
      <w:r>
        <w:rPr>
          <w:rFonts w:hint="eastAsia" w:ascii="Times New Roman" w:hAnsi="Times New Roman" w:eastAsia="仿宋" w:cs="仿宋"/>
          <w:sz w:val="32"/>
          <w:szCs w:val="32"/>
        </w:rPr>
        <w:t>5.</w:t>
      </w:r>
      <w:r>
        <w:rPr>
          <w:rFonts w:hint="eastAsia" w:ascii="仿宋" w:hAnsi="仿宋" w:eastAsia="仿宋_GB2312"/>
          <w:sz w:val="32"/>
          <w:szCs w:val="32"/>
        </w:rPr>
        <w:t>平陆县人民政府</w:t>
      </w:r>
      <w:r>
        <w:rPr>
          <w:rFonts w:hint="eastAsia" w:ascii="仿宋_GB2312" w:hAnsi="仿宋_GB2312" w:eastAsia="仿宋_GB2312" w:cs="仿宋_GB2312"/>
          <w:sz w:val="32"/>
          <w:szCs w:val="32"/>
        </w:rPr>
        <w:t>《关于平陆县</w:t>
      </w:r>
      <w:r>
        <w:rPr>
          <w:rFonts w:hint="eastAsia" w:ascii="Times New Roman" w:hAnsi="Times New Roman" w:eastAsia="仿宋_GB2312" w:cs="仿宋_GB2312"/>
          <w:sz w:val="32"/>
          <w:szCs w:val="32"/>
        </w:rPr>
        <w:t>2019</w:t>
      </w:r>
      <w:r>
        <w:rPr>
          <w:rFonts w:hint="eastAsia" w:ascii="仿宋_GB2312" w:hAnsi="仿宋_GB2312" w:eastAsia="仿宋_GB2312" w:cs="仿宋_GB2312"/>
          <w:sz w:val="32"/>
          <w:szCs w:val="32"/>
        </w:rPr>
        <w:t>年统筹整合使用财政资金实施精准扶贫实施方案的通知》（平政发〔</w:t>
      </w:r>
      <w:r>
        <w:rPr>
          <w:rFonts w:hint="eastAsia" w:ascii="Times New Roman" w:hAnsi="Times New Roman" w:eastAsia="仿宋_GB2312" w:cs="仿宋_GB2312"/>
          <w:sz w:val="32"/>
          <w:szCs w:val="32"/>
        </w:rPr>
        <w:t>201</w:t>
      </w:r>
      <w:r>
        <w:rPr>
          <w:rFonts w:ascii="Times New Roman" w:hAnsi="Times New Roman" w:eastAsia="仿宋_GB2312" w:cs="仿宋_GB2312"/>
          <w:sz w:val="32"/>
          <w:szCs w:val="32"/>
        </w:rPr>
        <w:t>9</w:t>
      </w:r>
      <w:r>
        <w:rPr>
          <w:rFonts w:hint="eastAsia" w:ascii="仿宋_GB2312" w:hAnsi="仿宋_GB2312" w:eastAsia="仿宋_GB2312" w:cs="仿宋_GB2312"/>
          <w:sz w:val="32"/>
          <w:szCs w:val="32"/>
        </w:rPr>
        <w:t>〕</w:t>
      </w:r>
      <w:r>
        <w:rPr>
          <w:rFonts w:ascii="Times New Roman" w:hAnsi="Times New Roman" w:eastAsia="仿宋_GB2312" w:cs="仿宋_GB2312"/>
          <w:sz w:val="32"/>
          <w:szCs w:val="32"/>
        </w:rPr>
        <w:t>7</w:t>
      </w:r>
      <w:r>
        <w:rPr>
          <w:rFonts w:hint="eastAsia" w:ascii="仿宋_GB2312" w:hAnsi="仿宋_GB2312" w:eastAsia="仿宋_GB2312" w:cs="仿宋_GB2312"/>
          <w:sz w:val="32"/>
          <w:szCs w:val="32"/>
        </w:rPr>
        <w:t>号）</w:t>
      </w:r>
      <w:r>
        <w:rPr>
          <w:rFonts w:hint="eastAsia" w:ascii="仿宋" w:hAnsi="仿宋" w:eastAsia="仿宋_GB2312"/>
          <w:sz w:val="32"/>
          <w:szCs w:val="32"/>
        </w:rPr>
        <w:t>；</w:t>
      </w:r>
    </w:p>
    <w:p>
      <w:pPr>
        <w:widowControl w:val="0"/>
        <w:ind w:firstLine="640" w:firstLineChars="200"/>
        <w:rPr>
          <w:rFonts w:ascii="仿宋" w:hAnsi="仿宋" w:eastAsia="仿宋_GB2312"/>
          <w:sz w:val="32"/>
          <w:szCs w:val="32"/>
        </w:rPr>
      </w:pPr>
      <w:r>
        <w:rPr>
          <w:rFonts w:hint="eastAsia" w:ascii="Times New Roman" w:hAnsi="Times New Roman" w:eastAsia="仿宋" w:cs="仿宋"/>
          <w:sz w:val="32"/>
          <w:szCs w:val="32"/>
        </w:rPr>
        <w:t>6.</w:t>
      </w:r>
      <w:r>
        <w:rPr>
          <w:rFonts w:hint="eastAsia" w:ascii="Times New Roman" w:hAnsi="Times New Roman" w:eastAsia="仿宋_GB2312" w:cs="仿宋_GB2312"/>
          <w:sz w:val="32"/>
          <w:szCs w:val="32"/>
        </w:rPr>
        <w:t xml:space="preserve"> 《平陆县脱贫攻坚领导小组办公室&lt;关于下达2019年第一批涉农资金整合项目计划及相关立项审批事项&gt;的通知》（平脱贫攻坚组办〔2019〕7号）；</w:t>
      </w:r>
    </w:p>
    <w:p>
      <w:pPr>
        <w:ind w:firstLine="640" w:firstLineChars="200"/>
        <w:rPr>
          <w:rFonts w:ascii="仿宋_GB2312" w:hAnsi="仿宋_GB2312" w:eastAsia="仿宋_GB2312" w:cs="仿宋_GB2312"/>
          <w:sz w:val="32"/>
          <w:szCs w:val="32"/>
        </w:rPr>
      </w:pPr>
      <w:r>
        <w:rPr>
          <w:rFonts w:hint="eastAsia" w:ascii="Times New Roman" w:hAnsi="Times New Roman" w:eastAsia="仿宋" w:cs="仿宋"/>
          <w:sz w:val="32"/>
          <w:szCs w:val="32"/>
        </w:rPr>
        <w:t>7.</w:t>
      </w:r>
      <w:r>
        <w:rPr>
          <w:rFonts w:hint="eastAsia" w:ascii="仿宋_GB2312" w:hAnsi="仿宋_GB2312" w:eastAsia="仿宋_GB2312" w:cs="仿宋_GB2312"/>
          <w:sz w:val="32"/>
          <w:szCs w:val="32"/>
        </w:rPr>
        <w:t>其他与项目相关的法律法规和政策性文件。</w:t>
      </w:r>
    </w:p>
    <w:p>
      <w:pPr>
        <w:pStyle w:val="4"/>
        <w:widowControl w:val="0"/>
        <w:spacing w:line="360" w:lineRule="auto"/>
      </w:pPr>
      <w:bookmarkStart w:id="15" w:name="_Toc7692"/>
      <w:r>
        <w:rPr>
          <w:rFonts w:hint="eastAsia"/>
        </w:rPr>
        <w:t>（三）项目资金来源及使用情况</w:t>
      </w:r>
      <w:bookmarkEnd w:id="15"/>
    </w:p>
    <w:p>
      <w:pPr>
        <w:widowControl w:val="0"/>
        <w:ind w:firstLine="643" w:firstLineChars="200"/>
        <w:rPr>
          <w:rFonts w:ascii="Times New Roman" w:hAnsi="Times New Roman" w:eastAsia="仿宋_GB2312" w:cs="仿宋"/>
          <w:b/>
          <w:sz w:val="32"/>
          <w:szCs w:val="32"/>
        </w:rPr>
      </w:pPr>
      <w:r>
        <w:rPr>
          <w:rFonts w:hint="eastAsia" w:ascii="Times New Roman" w:hAnsi="Times New Roman" w:eastAsia="仿宋_GB2312" w:cs="仿宋"/>
          <w:b/>
          <w:sz w:val="32"/>
          <w:szCs w:val="32"/>
        </w:rPr>
        <w:t>1</w:t>
      </w:r>
      <w:r>
        <w:rPr>
          <w:rFonts w:hint="eastAsia" w:ascii="仿宋_GB2312" w:hAnsi="仿宋" w:eastAsia="仿宋_GB2312" w:cs="仿宋"/>
          <w:b/>
          <w:sz w:val="32"/>
          <w:szCs w:val="32"/>
        </w:rPr>
        <w:t>.项目资金来源</w:t>
      </w:r>
    </w:p>
    <w:bookmarkEnd w:id="11"/>
    <w:bookmarkEnd w:id="12"/>
    <w:bookmarkEnd w:id="13"/>
    <w:bookmarkEnd w:id="14"/>
    <w:p>
      <w:pPr>
        <w:overflowPunct w:val="0"/>
        <w:ind w:firstLine="640" w:firstLineChars="200"/>
        <w:rPr>
          <w:rFonts w:ascii="仿宋_GB2312" w:hAnsi="仿宋_GB2312" w:eastAsia="仿宋_GB2312" w:cs="仿宋_GB2312"/>
          <w:sz w:val="32"/>
          <w:szCs w:val="32"/>
        </w:rPr>
      </w:pPr>
      <w:bookmarkStart w:id="16" w:name="_Toc512610828"/>
      <w:r>
        <w:rPr>
          <w:rFonts w:hint="eastAsia" w:ascii="Times New Roman" w:hAnsi="Times New Roman" w:eastAsia="仿宋_GB2312" w:cs="仿宋_GB2312"/>
          <w:sz w:val="32"/>
          <w:szCs w:val="32"/>
        </w:rPr>
        <w:t>2019年平陆县圣人涧镇营村村一组至二组道路建设工程项目资金由圣人涧镇人民政府申请，</w:t>
      </w:r>
      <w:r>
        <w:rPr>
          <w:rFonts w:hint="eastAsia" w:ascii="仿宋_GB2312" w:hAnsi="仿宋_GB2312" w:eastAsia="仿宋_GB2312" w:cs="仿宋_GB2312"/>
          <w:sz w:val="32"/>
          <w:szCs w:val="32"/>
        </w:rPr>
        <w:t>由平陆县财政局安排，</w:t>
      </w:r>
      <w:r>
        <w:rPr>
          <w:rFonts w:hint="eastAsia" w:ascii="仿宋" w:hAnsi="仿宋" w:eastAsia="仿宋_GB2312"/>
          <w:sz w:val="32"/>
          <w:szCs w:val="32"/>
        </w:rPr>
        <w:t>项目预算资金</w:t>
      </w:r>
      <w:r>
        <w:rPr>
          <w:rFonts w:hint="eastAsia" w:ascii="Times New Roman" w:hAnsi="Times New Roman" w:eastAsia="仿宋_GB2312" w:cs="Times New Roman"/>
          <w:sz w:val="32"/>
          <w:szCs w:val="32"/>
        </w:rPr>
        <w:t>132.12</w:t>
      </w:r>
      <w:r>
        <w:rPr>
          <w:rFonts w:hint="eastAsia" w:ascii="仿宋" w:hAnsi="仿宋" w:eastAsia="仿宋_GB2312"/>
          <w:sz w:val="32"/>
          <w:szCs w:val="32"/>
        </w:rPr>
        <w:t>万元。</w:t>
      </w:r>
      <w:r>
        <w:rPr>
          <w:rFonts w:hint="eastAsia" w:ascii="仿宋_GB2312" w:hAnsi="仿宋_GB2312" w:eastAsia="仿宋_GB2312" w:cs="仿宋_GB2312"/>
          <w:sz w:val="32"/>
          <w:szCs w:val="32"/>
        </w:rPr>
        <w:t>具体资金下达的文件名称、文号、下达资金情况见下表</w:t>
      </w:r>
      <w:r>
        <w:rPr>
          <w:rFonts w:hint="eastAsia" w:ascii="Times New Roman" w:hAnsi="Times New Roman" w:eastAsia="仿宋_GB2312" w:cs="仿宋_GB2312"/>
          <w:sz w:val="32"/>
          <w:szCs w:val="32"/>
        </w:rPr>
        <w:t>1</w:t>
      </w:r>
      <w:r>
        <w:rPr>
          <w:rFonts w:ascii="仿宋_GB2312" w:hAnsi="仿宋_GB2312" w:eastAsia="仿宋_GB2312" w:cs="仿宋_GB2312"/>
          <w:sz w:val="32"/>
          <w:szCs w:val="32"/>
        </w:rPr>
        <w:t>-</w:t>
      </w:r>
      <w:r>
        <w:rPr>
          <w:rFonts w:ascii="Times New Roman" w:hAnsi="Times New Roman" w:eastAsia="仿宋_GB2312" w:cs="仿宋_GB2312"/>
          <w:sz w:val="32"/>
          <w:szCs w:val="32"/>
        </w:rPr>
        <w:t>3</w:t>
      </w:r>
      <w:r>
        <w:rPr>
          <w:rFonts w:hint="eastAsia" w:ascii="仿宋_GB2312" w:hAnsi="仿宋_GB2312" w:eastAsia="仿宋_GB2312" w:cs="仿宋_GB2312"/>
          <w:sz w:val="32"/>
          <w:szCs w:val="32"/>
        </w:rPr>
        <w:t>：</w:t>
      </w:r>
    </w:p>
    <w:p>
      <w:pPr>
        <w:jc w:val="center"/>
        <w:rPr>
          <w:rFonts w:ascii="Times New Roman" w:hAnsi="Times New Roman" w:eastAsia="黑体" w:cs="仿宋_GB2312"/>
          <w:sz w:val="28"/>
          <w:szCs w:val="28"/>
        </w:rPr>
      </w:pPr>
      <w:r>
        <w:rPr>
          <w:rFonts w:hint="eastAsia" w:ascii="黑体" w:hAnsi="黑体" w:eastAsia="黑体" w:cs="仿宋_GB2312"/>
          <w:sz w:val="28"/>
          <w:szCs w:val="28"/>
        </w:rPr>
        <w:t>表</w:t>
      </w:r>
      <w:r>
        <w:rPr>
          <w:rFonts w:ascii="Times New Roman" w:hAnsi="Times New Roman" w:eastAsia="黑体" w:cs="仿宋_GB2312"/>
          <w:sz w:val="28"/>
          <w:szCs w:val="28"/>
        </w:rPr>
        <w:t>1</w:t>
      </w:r>
      <w:r>
        <w:rPr>
          <w:rFonts w:ascii="黑体" w:hAnsi="黑体" w:eastAsia="黑体" w:cs="仿宋_GB2312"/>
          <w:sz w:val="28"/>
          <w:szCs w:val="28"/>
        </w:rPr>
        <w:t>-</w:t>
      </w:r>
      <w:r>
        <w:rPr>
          <w:rFonts w:ascii="Times New Roman" w:hAnsi="Times New Roman" w:eastAsia="黑体" w:cs="仿宋_GB2312"/>
          <w:sz w:val="28"/>
          <w:szCs w:val="28"/>
        </w:rPr>
        <w:t>3</w:t>
      </w:r>
      <w:r>
        <w:rPr>
          <w:rFonts w:hint="eastAsia" w:ascii="黑体" w:hAnsi="黑体" w:eastAsia="黑体" w:cs="仿宋_GB2312"/>
          <w:sz w:val="28"/>
          <w:szCs w:val="28"/>
        </w:rPr>
        <w:t xml:space="preserve"> </w:t>
      </w:r>
      <w:r>
        <w:rPr>
          <w:rFonts w:hint="eastAsia" w:ascii="Times New Roman" w:hAnsi="Times New Roman" w:eastAsia="黑体" w:cs="仿宋_GB2312"/>
          <w:sz w:val="28"/>
          <w:szCs w:val="28"/>
        </w:rPr>
        <w:t>2019年平陆县圣人涧镇营村村一组至二组</w:t>
      </w:r>
    </w:p>
    <w:p>
      <w:pPr>
        <w:jc w:val="center"/>
        <w:rPr>
          <w:rFonts w:ascii="Times New Roman" w:hAnsi="Times New Roman" w:eastAsia="黑体" w:cs="仿宋_GB2312"/>
          <w:sz w:val="28"/>
          <w:szCs w:val="28"/>
        </w:rPr>
      </w:pPr>
      <w:r>
        <w:rPr>
          <w:rFonts w:hint="eastAsia" w:ascii="Times New Roman" w:hAnsi="Times New Roman" w:eastAsia="黑体" w:cs="仿宋_GB2312"/>
          <w:sz w:val="28"/>
          <w:szCs w:val="28"/>
        </w:rPr>
        <w:t>道路建设工程项目</w:t>
      </w:r>
      <w:r>
        <w:rPr>
          <w:rFonts w:hint="eastAsia" w:ascii="黑体" w:hAnsi="黑体" w:eastAsia="黑体" w:cs="仿宋_GB2312"/>
          <w:sz w:val="28"/>
          <w:szCs w:val="28"/>
        </w:rPr>
        <w:t>资金下达情况表</w:t>
      </w:r>
    </w:p>
    <w:p>
      <w:pPr>
        <w:ind w:firstLine="482" w:firstLineChars="200"/>
        <w:jc w:val="right"/>
        <w:rPr>
          <w:rFonts w:ascii="仿宋_GB2312" w:hAnsi="仿宋" w:eastAsia="仿宋_GB2312" w:cs="仿宋_GB2312"/>
          <w:b/>
          <w:sz w:val="22"/>
          <w:szCs w:val="28"/>
        </w:rPr>
      </w:pPr>
      <w:r>
        <w:rPr>
          <w:rFonts w:hint="eastAsia" w:ascii="仿宋_GB2312" w:hAnsi="黑体" w:eastAsia="仿宋_GB2312" w:cs="仿宋_GB2312"/>
          <w:b/>
          <w:szCs w:val="28"/>
        </w:rPr>
        <w:t>单位：万元</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077"/>
        <w:gridCol w:w="1134"/>
        <w:gridCol w:w="1560"/>
        <w:gridCol w:w="1134"/>
        <w:gridCol w:w="113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866" w:type="dxa"/>
            <w:vMerge w:val="restart"/>
            <w:shd w:val="clear" w:color="auto" w:fill="BEBEBE" w:themeFill="background1" w:themeFillShade="BF"/>
            <w:vAlign w:val="center"/>
          </w:tcPr>
          <w:p>
            <w:pPr>
              <w:spacing w:line="240" w:lineRule="auto"/>
              <w:jc w:val="center"/>
              <w:rPr>
                <w:b/>
                <w:bCs/>
                <w:color w:val="000000"/>
                <w:sz w:val="20"/>
                <w:szCs w:val="20"/>
              </w:rPr>
            </w:pPr>
            <w:r>
              <w:rPr>
                <w:rFonts w:hint="eastAsia"/>
                <w:b/>
                <w:bCs/>
                <w:color w:val="000000"/>
                <w:sz w:val="20"/>
                <w:szCs w:val="20"/>
              </w:rPr>
              <w:t>年度</w:t>
            </w:r>
          </w:p>
        </w:tc>
        <w:tc>
          <w:tcPr>
            <w:tcW w:w="2077" w:type="dxa"/>
            <w:vMerge w:val="restart"/>
            <w:shd w:val="clear" w:color="auto" w:fill="BEBEBE" w:themeFill="background1" w:themeFillShade="BF"/>
            <w:vAlign w:val="center"/>
          </w:tcPr>
          <w:p>
            <w:pPr>
              <w:spacing w:line="240" w:lineRule="auto"/>
              <w:jc w:val="center"/>
              <w:rPr>
                <w:b/>
                <w:bCs/>
                <w:color w:val="000000"/>
                <w:sz w:val="20"/>
                <w:szCs w:val="20"/>
              </w:rPr>
            </w:pPr>
            <w:r>
              <w:rPr>
                <w:rFonts w:hint="eastAsia"/>
                <w:b/>
                <w:bCs/>
                <w:color w:val="000000"/>
                <w:sz w:val="20"/>
                <w:szCs w:val="20"/>
              </w:rPr>
              <w:t>下达资金的文件名称</w:t>
            </w:r>
          </w:p>
        </w:tc>
        <w:tc>
          <w:tcPr>
            <w:tcW w:w="1134" w:type="dxa"/>
            <w:vMerge w:val="restart"/>
            <w:shd w:val="clear" w:color="auto" w:fill="BEBEBE" w:themeFill="background1" w:themeFillShade="BF"/>
            <w:vAlign w:val="center"/>
          </w:tcPr>
          <w:p>
            <w:pPr>
              <w:spacing w:line="240" w:lineRule="auto"/>
              <w:jc w:val="center"/>
              <w:rPr>
                <w:b/>
                <w:bCs/>
                <w:color w:val="000000"/>
                <w:sz w:val="20"/>
                <w:szCs w:val="20"/>
              </w:rPr>
            </w:pPr>
            <w:r>
              <w:rPr>
                <w:rFonts w:hint="eastAsia"/>
                <w:b/>
                <w:bCs/>
                <w:color w:val="000000"/>
                <w:sz w:val="20"/>
                <w:szCs w:val="20"/>
              </w:rPr>
              <w:t>文号</w:t>
            </w:r>
          </w:p>
        </w:tc>
        <w:tc>
          <w:tcPr>
            <w:tcW w:w="1560" w:type="dxa"/>
            <w:vMerge w:val="restart"/>
            <w:shd w:val="clear" w:color="auto" w:fill="BEBEBE" w:themeFill="background1" w:themeFillShade="BF"/>
            <w:vAlign w:val="center"/>
          </w:tcPr>
          <w:p>
            <w:pPr>
              <w:spacing w:line="240" w:lineRule="auto"/>
              <w:jc w:val="center"/>
              <w:rPr>
                <w:b/>
                <w:bCs/>
                <w:color w:val="000000"/>
                <w:sz w:val="20"/>
                <w:szCs w:val="20"/>
              </w:rPr>
            </w:pPr>
            <w:r>
              <w:rPr>
                <w:rFonts w:hint="eastAsia"/>
                <w:b/>
                <w:bCs/>
                <w:color w:val="000000"/>
                <w:sz w:val="20"/>
                <w:szCs w:val="20"/>
              </w:rPr>
              <w:t>发文时间</w:t>
            </w:r>
          </w:p>
        </w:tc>
        <w:tc>
          <w:tcPr>
            <w:tcW w:w="2268" w:type="dxa"/>
            <w:gridSpan w:val="2"/>
            <w:shd w:val="clear" w:color="auto" w:fill="BEBEBE" w:themeFill="background1" w:themeFillShade="BF"/>
            <w:vAlign w:val="center"/>
          </w:tcPr>
          <w:p>
            <w:pPr>
              <w:spacing w:line="240" w:lineRule="auto"/>
              <w:jc w:val="center"/>
              <w:rPr>
                <w:b/>
                <w:bCs/>
                <w:color w:val="000000"/>
                <w:sz w:val="20"/>
                <w:szCs w:val="20"/>
              </w:rPr>
            </w:pPr>
            <w:r>
              <w:rPr>
                <w:rFonts w:hint="eastAsia"/>
                <w:b/>
                <w:bCs/>
                <w:color w:val="000000"/>
                <w:sz w:val="20"/>
                <w:szCs w:val="20"/>
              </w:rPr>
              <w:t>项目金额</w:t>
            </w:r>
          </w:p>
        </w:tc>
        <w:tc>
          <w:tcPr>
            <w:tcW w:w="1155" w:type="dxa"/>
            <w:vMerge w:val="restart"/>
            <w:shd w:val="clear" w:color="auto" w:fill="BEBEBE" w:themeFill="background1" w:themeFillShade="BF"/>
            <w:noWrap/>
            <w:vAlign w:val="center"/>
          </w:tcPr>
          <w:p>
            <w:pPr>
              <w:spacing w:line="240" w:lineRule="auto"/>
              <w:jc w:val="center"/>
              <w:rPr>
                <w:color w:val="000000"/>
                <w:sz w:val="20"/>
                <w:szCs w:val="20"/>
              </w:rPr>
            </w:pPr>
            <w:r>
              <w:rPr>
                <w:rFonts w:hint="eastAsia"/>
                <w:b/>
                <w:bCs/>
                <w:color w:val="000000"/>
                <w:sz w:val="20"/>
                <w:szCs w:val="20"/>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866" w:type="dxa"/>
            <w:vMerge w:val="continue"/>
            <w:shd w:val="clear" w:color="auto" w:fill="BEBEBE" w:themeFill="background1" w:themeFillShade="BF"/>
            <w:vAlign w:val="center"/>
          </w:tcPr>
          <w:p>
            <w:pPr>
              <w:spacing w:line="240" w:lineRule="auto"/>
              <w:jc w:val="center"/>
              <w:rPr>
                <w:b/>
                <w:bCs/>
                <w:color w:val="000000"/>
                <w:sz w:val="20"/>
                <w:szCs w:val="20"/>
              </w:rPr>
            </w:pPr>
          </w:p>
        </w:tc>
        <w:tc>
          <w:tcPr>
            <w:tcW w:w="2077" w:type="dxa"/>
            <w:vMerge w:val="continue"/>
            <w:shd w:val="clear" w:color="auto" w:fill="BEBEBE" w:themeFill="background1" w:themeFillShade="BF"/>
            <w:vAlign w:val="center"/>
          </w:tcPr>
          <w:p>
            <w:pPr>
              <w:spacing w:line="240" w:lineRule="auto"/>
              <w:jc w:val="center"/>
              <w:rPr>
                <w:b/>
                <w:bCs/>
                <w:color w:val="000000"/>
                <w:sz w:val="20"/>
                <w:szCs w:val="20"/>
              </w:rPr>
            </w:pPr>
          </w:p>
        </w:tc>
        <w:tc>
          <w:tcPr>
            <w:tcW w:w="1134" w:type="dxa"/>
            <w:vMerge w:val="continue"/>
            <w:shd w:val="clear" w:color="auto" w:fill="BEBEBE" w:themeFill="background1" w:themeFillShade="BF"/>
            <w:vAlign w:val="center"/>
          </w:tcPr>
          <w:p>
            <w:pPr>
              <w:spacing w:line="240" w:lineRule="auto"/>
              <w:jc w:val="center"/>
              <w:rPr>
                <w:b/>
                <w:bCs/>
                <w:color w:val="000000"/>
                <w:sz w:val="20"/>
                <w:szCs w:val="20"/>
              </w:rPr>
            </w:pPr>
          </w:p>
        </w:tc>
        <w:tc>
          <w:tcPr>
            <w:tcW w:w="1560" w:type="dxa"/>
            <w:vMerge w:val="continue"/>
            <w:shd w:val="clear" w:color="auto" w:fill="BEBEBE" w:themeFill="background1" w:themeFillShade="BF"/>
            <w:vAlign w:val="center"/>
          </w:tcPr>
          <w:p>
            <w:pPr>
              <w:spacing w:line="240" w:lineRule="auto"/>
              <w:jc w:val="center"/>
              <w:rPr>
                <w:b/>
                <w:bCs/>
                <w:color w:val="000000"/>
                <w:sz w:val="20"/>
                <w:szCs w:val="20"/>
              </w:rPr>
            </w:pPr>
          </w:p>
        </w:tc>
        <w:tc>
          <w:tcPr>
            <w:tcW w:w="1134" w:type="dxa"/>
            <w:shd w:val="clear" w:color="auto" w:fill="BEBEBE" w:themeFill="background1" w:themeFillShade="BF"/>
            <w:vAlign w:val="center"/>
          </w:tcPr>
          <w:p>
            <w:pPr>
              <w:spacing w:line="240" w:lineRule="auto"/>
              <w:jc w:val="center"/>
              <w:rPr>
                <w:b/>
                <w:bCs/>
                <w:color w:val="000000"/>
                <w:sz w:val="20"/>
                <w:szCs w:val="20"/>
              </w:rPr>
            </w:pPr>
            <w:r>
              <w:rPr>
                <w:rFonts w:hint="eastAsia"/>
                <w:b/>
                <w:bCs/>
                <w:color w:val="000000"/>
                <w:sz w:val="20"/>
                <w:szCs w:val="20"/>
              </w:rPr>
              <w:t>项目内容</w:t>
            </w:r>
          </w:p>
        </w:tc>
        <w:tc>
          <w:tcPr>
            <w:tcW w:w="1134" w:type="dxa"/>
            <w:shd w:val="clear" w:color="auto" w:fill="BEBEBE" w:themeFill="background1" w:themeFillShade="BF"/>
            <w:vAlign w:val="center"/>
          </w:tcPr>
          <w:p>
            <w:pPr>
              <w:spacing w:line="240" w:lineRule="auto"/>
              <w:jc w:val="center"/>
              <w:rPr>
                <w:b/>
                <w:bCs/>
                <w:color w:val="000000"/>
                <w:sz w:val="20"/>
                <w:szCs w:val="20"/>
              </w:rPr>
            </w:pPr>
            <w:r>
              <w:rPr>
                <w:rFonts w:hint="eastAsia"/>
                <w:b/>
                <w:bCs/>
                <w:color w:val="000000"/>
                <w:sz w:val="20"/>
                <w:szCs w:val="20"/>
              </w:rPr>
              <w:t>项目金额</w:t>
            </w:r>
          </w:p>
        </w:tc>
        <w:tc>
          <w:tcPr>
            <w:tcW w:w="1155" w:type="dxa"/>
            <w:vMerge w:val="continue"/>
            <w:shd w:val="clear" w:color="auto" w:fill="BEBEBE" w:themeFill="background1" w:themeFillShade="BF"/>
            <w:noWrap/>
            <w:vAlign w:val="center"/>
          </w:tcPr>
          <w:p>
            <w:pPr>
              <w:spacing w:line="240" w:lineRule="auto"/>
              <w:jc w:val="center"/>
              <w:rPr>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6" w:type="dxa"/>
            <w:shd w:val="clear" w:color="auto" w:fill="auto"/>
            <w:noWrap/>
            <w:vAlign w:val="center"/>
          </w:tcPr>
          <w:p>
            <w:pPr>
              <w:spacing w:line="240" w:lineRule="auto"/>
              <w:jc w:val="center"/>
              <w:rPr>
                <w:color w:val="000000"/>
                <w:sz w:val="20"/>
                <w:szCs w:val="20"/>
              </w:rPr>
            </w:pPr>
            <w:r>
              <w:rPr>
                <w:rFonts w:hint="eastAsia" w:ascii="Times New Roman" w:hAnsi="Times New Roman"/>
                <w:color w:val="000000"/>
                <w:sz w:val="20"/>
                <w:szCs w:val="20"/>
              </w:rPr>
              <w:t>2019</w:t>
            </w:r>
            <w:r>
              <w:rPr>
                <w:rFonts w:hint="eastAsia"/>
                <w:color w:val="000000"/>
                <w:sz w:val="20"/>
                <w:szCs w:val="20"/>
              </w:rPr>
              <w:t>年</w:t>
            </w:r>
          </w:p>
        </w:tc>
        <w:tc>
          <w:tcPr>
            <w:tcW w:w="2077" w:type="dxa"/>
            <w:shd w:val="clear" w:color="auto" w:fill="auto"/>
            <w:vAlign w:val="center"/>
          </w:tcPr>
          <w:p>
            <w:pPr>
              <w:spacing w:line="240" w:lineRule="auto"/>
              <w:jc w:val="center"/>
              <w:rPr>
                <w:color w:val="000000"/>
                <w:sz w:val="20"/>
                <w:szCs w:val="20"/>
              </w:rPr>
            </w:pPr>
            <w:r>
              <w:rPr>
                <w:rFonts w:hint="eastAsia"/>
                <w:color w:val="000000"/>
                <w:sz w:val="20"/>
                <w:szCs w:val="20"/>
              </w:rPr>
              <w:t>《平陆县脱贫攻坚领导小组办公室&lt;关于下达</w:t>
            </w:r>
            <w:r>
              <w:rPr>
                <w:rFonts w:hint="eastAsia" w:ascii="Times New Roman" w:hAnsi="Times New Roman"/>
                <w:color w:val="000000"/>
                <w:sz w:val="20"/>
                <w:szCs w:val="20"/>
              </w:rPr>
              <w:t>2019</w:t>
            </w:r>
            <w:r>
              <w:rPr>
                <w:rFonts w:hint="eastAsia"/>
                <w:color w:val="000000"/>
                <w:sz w:val="20"/>
                <w:szCs w:val="20"/>
              </w:rPr>
              <w:t>年第七批统筹整合财政资金使用计划&gt;的通知》</w:t>
            </w:r>
          </w:p>
        </w:tc>
        <w:tc>
          <w:tcPr>
            <w:tcW w:w="1134" w:type="dxa"/>
            <w:shd w:val="clear" w:color="auto" w:fill="auto"/>
            <w:vAlign w:val="center"/>
          </w:tcPr>
          <w:p>
            <w:pPr>
              <w:spacing w:line="240" w:lineRule="auto"/>
              <w:jc w:val="center"/>
              <w:rPr>
                <w:color w:val="000000"/>
                <w:sz w:val="20"/>
                <w:szCs w:val="20"/>
              </w:rPr>
            </w:pPr>
            <w:r>
              <w:rPr>
                <w:rFonts w:hint="eastAsia"/>
                <w:color w:val="000000"/>
                <w:sz w:val="20"/>
                <w:szCs w:val="20"/>
              </w:rPr>
              <w:t>（平脱贫攻坚组办〔2019〕32号）</w:t>
            </w:r>
          </w:p>
        </w:tc>
        <w:tc>
          <w:tcPr>
            <w:tcW w:w="1560" w:type="dxa"/>
            <w:shd w:val="clear" w:color="auto" w:fill="auto"/>
            <w:noWrap/>
            <w:vAlign w:val="center"/>
          </w:tcPr>
          <w:p>
            <w:pPr>
              <w:spacing w:line="240" w:lineRule="auto"/>
              <w:jc w:val="center"/>
              <w:rPr>
                <w:color w:val="000000"/>
                <w:sz w:val="20"/>
                <w:szCs w:val="20"/>
              </w:rPr>
            </w:pPr>
            <w:r>
              <w:rPr>
                <w:rFonts w:hint="eastAsia" w:ascii="Times New Roman" w:hAnsi="Times New Roman"/>
                <w:color w:val="000000"/>
                <w:sz w:val="20"/>
                <w:szCs w:val="20"/>
              </w:rPr>
              <w:t>2019</w:t>
            </w:r>
            <w:r>
              <w:rPr>
                <w:rFonts w:hint="eastAsia"/>
                <w:color w:val="000000"/>
                <w:sz w:val="20"/>
                <w:szCs w:val="20"/>
              </w:rPr>
              <w:t>年</w:t>
            </w:r>
            <w:r>
              <w:rPr>
                <w:rFonts w:hint="eastAsia" w:ascii="Times New Roman" w:hAnsi="Times New Roman"/>
                <w:color w:val="000000"/>
                <w:sz w:val="20"/>
                <w:szCs w:val="20"/>
              </w:rPr>
              <w:t>8</w:t>
            </w:r>
            <w:r>
              <w:rPr>
                <w:rFonts w:hint="eastAsia"/>
                <w:color w:val="000000"/>
                <w:sz w:val="20"/>
                <w:szCs w:val="20"/>
              </w:rPr>
              <w:t>月</w:t>
            </w:r>
            <w:r>
              <w:rPr>
                <w:rFonts w:hint="eastAsia" w:ascii="Times New Roman" w:hAnsi="Times New Roman"/>
                <w:color w:val="000000"/>
                <w:sz w:val="20"/>
                <w:szCs w:val="20"/>
              </w:rPr>
              <w:t>26</w:t>
            </w:r>
            <w:r>
              <w:rPr>
                <w:rFonts w:hint="eastAsia"/>
                <w:color w:val="000000"/>
                <w:sz w:val="20"/>
                <w:szCs w:val="20"/>
              </w:rPr>
              <w:t>日</w:t>
            </w:r>
          </w:p>
        </w:tc>
        <w:tc>
          <w:tcPr>
            <w:tcW w:w="1134" w:type="dxa"/>
            <w:shd w:val="clear" w:color="auto" w:fill="auto"/>
            <w:noWrap/>
            <w:vAlign w:val="center"/>
          </w:tcPr>
          <w:p>
            <w:pPr>
              <w:spacing w:line="240" w:lineRule="auto"/>
              <w:jc w:val="center"/>
              <w:rPr>
                <w:color w:val="000000"/>
                <w:sz w:val="20"/>
                <w:szCs w:val="20"/>
              </w:rPr>
            </w:pPr>
            <w:r>
              <w:rPr>
                <w:rFonts w:hint="eastAsia"/>
                <w:color w:val="000000"/>
                <w:sz w:val="20"/>
                <w:szCs w:val="20"/>
              </w:rPr>
              <w:t>道路建设工程</w:t>
            </w:r>
          </w:p>
        </w:tc>
        <w:tc>
          <w:tcPr>
            <w:tcW w:w="1134" w:type="dxa"/>
            <w:vAlign w:val="center"/>
          </w:tcPr>
          <w:p>
            <w:pPr>
              <w:spacing w:line="240" w:lineRule="auto"/>
              <w:jc w:val="center"/>
              <w:rPr>
                <w:color w:val="000000"/>
                <w:sz w:val="20"/>
                <w:szCs w:val="20"/>
              </w:rPr>
            </w:pPr>
            <w:r>
              <w:rPr>
                <w:rFonts w:hint="eastAsia" w:ascii="Times New Roman" w:hAnsi="Times New Roman"/>
                <w:color w:val="000000"/>
                <w:sz w:val="20"/>
                <w:szCs w:val="20"/>
              </w:rPr>
              <w:t>132.12</w:t>
            </w:r>
          </w:p>
        </w:tc>
        <w:tc>
          <w:tcPr>
            <w:tcW w:w="1155" w:type="dxa"/>
            <w:shd w:val="clear" w:color="auto" w:fill="auto"/>
            <w:noWrap/>
            <w:vAlign w:val="center"/>
          </w:tcPr>
          <w:p>
            <w:pPr>
              <w:spacing w:line="240" w:lineRule="auto"/>
              <w:jc w:val="center"/>
              <w:rPr>
                <w:color w:val="000000"/>
                <w:sz w:val="20"/>
                <w:szCs w:val="20"/>
              </w:rPr>
            </w:pPr>
            <w:r>
              <w:rPr>
                <w:rFonts w:hint="eastAsia"/>
                <w:color w:val="000000"/>
                <w:sz w:val="20"/>
                <w:szCs w:val="20"/>
              </w:rPr>
              <w:t>统筹整合财政资金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637" w:type="dxa"/>
            <w:gridSpan w:val="4"/>
            <w:shd w:val="clear" w:color="auto" w:fill="auto"/>
            <w:noWrap/>
            <w:vAlign w:val="center"/>
          </w:tcPr>
          <w:p>
            <w:pPr>
              <w:spacing w:line="240" w:lineRule="auto"/>
              <w:jc w:val="center"/>
              <w:rPr>
                <w:color w:val="000000"/>
                <w:sz w:val="20"/>
                <w:szCs w:val="20"/>
              </w:rPr>
            </w:pPr>
            <w:r>
              <w:rPr>
                <w:rFonts w:hint="eastAsia"/>
                <w:color w:val="000000"/>
                <w:sz w:val="20"/>
                <w:szCs w:val="20"/>
              </w:rPr>
              <w:t>合 计</w:t>
            </w:r>
          </w:p>
        </w:tc>
        <w:tc>
          <w:tcPr>
            <w:tcW w:w="1134" w:type="dxa"/>
            <w:shd w:val="clear" w:color="auto" w:fill="auto"/>
            <w:noWrap/>
            <w:vAlign w:val="center"/>
          </w:tcPr>
          <w:p>
            <w:pPr>
              <w:spacing w:line="240" w:lineRule="auto"/>
              <w:jc w:val="center"/>
              <w:rPr>
                <w:color w:val="000000"/>
                <w:sz w:val="20"/>
                <w:szCs w:val="20"/>
              </w:rPr>
            </w:pPr>
            <w:r>
              <w:rPr>
                <w:color w:val="000000"/>
                <w:sz w:val="20"/>
                <w:szCs w:val="20"/>
              </w:rPr>
              <w:t>--</w:t>
            </w:r>
          </w:p>
        </w:tc>
        <w:tc>
          <w:tcPr>
            <w:tcW w:w="1134" w:type="dxa"/>
            <w:vAlign w:val="center"/>
          </w:tcPr>
          <w:p>
            <w:pPr>
              <w:spacing w:line="240" w:lineRule="auto"/>
              <w:jc w:val="center"/>
              <w:rPr>
                <w:color w:val="000000"/>
                <w:sz w:val="20"/>
                <w:szCs w:val="20"/>
              </w:rPr>
            </w:pPr>
            <w:r>
              <w:rPr>
                <w:rFonts w:hint="eastAsia" w:ascii="Times New Roman" w:hAnsi="Times New Roman"/>
                <w:color w:val="000000"/>
                <w:sz w:val="20"/>
                <w:szCs w:val="20"/>
              </w:rPr>
              <w:t>132.12</w:t>
            </w:r>
          </w:p>
        </w:tc>
        <w:tc>
          <w:tcPr>
            <w:tcW w:w="1155" w:type="dxa"/>
            <w:shd w:val="clear" w:color="auto" w:fill="auto"/>
            <w:noWrap/>
            <w:vAlign w:val="center"/>
          </w:tcPr>
          <w:p>
            <w:pPr>
              <w:spacing w:line="240" w:lineRule="auto"/>
              <w:jc w:val="center"/>
              <w:rPr>
                <w:color w:val="000000"/>
                <w:sz w:val="20"/>
                <w:szCs w:val="20"/>
              </w:rPr>
            </w:pPr>
            <w:r>
              <w:rPr>
                <w:color w:val="000000"/>
                <w:sz w:val="20"/>
                <w:szCs w:val="20"/>
              </w:rPr>
              <w:t>--</w:t>
            </w:r>
          </w:p>
        </w:tc>
      </w:tr>
    </w:tbl>
    <w:p>
      <w:pPr>
        <w:widowControl w:val="0"/>
        <w:ind w:firstLine="643" w:firstLineChars="200"/>
        <w:rPr>
          <w:rFonts w:ascii="仿宋" w:hAnsi="仿宋" w:eastAsia="仿宋" w:cs="仿宋"/>
          <w:sz w:val="32"/>
          <w:szCs w:val="32"/>
        </w:rPr>
      </w:pPr>
      <w:r>
        <w:rPr>
          <w:rFonts w:hint="eastAsia" w:ascii="Times New Roman" w:hAnsi="Times New Roman" w:eastAsia="仿宋_GB2312" w:cs="仿宋"/>
          <w:b/>
          <w:sz w:val="32"/>
          <w:szCs w:val="32"/>
        </w:rPr>
        <w:t>2</w:t>
      </w:r>
      <w:r>
        <w:rPr>
          <w:rFonts w:hint="eastAsia" w:ascii="仿宋_GB2312" w:hAnsi="Times New Roman" w:eastAsia="仿宋_GB2312" w:cs="仿宋"/>
          <w:b/>
          <w:sz w:val="32"/>
          <w:szCs w:val="32"/>
        </w:rPr>
        <w:t>.</w:t>
      </w:r>
      <w:r>
        <w:rPr>
          <w:rFonts w:hint="eastAsia" w:ascii="仿宋_GB2312" w:hAnsi="仿宋" w:eastAsia="仿宋_GB2312" w:cs="仿宋"/>
          <w:b/>
          <w:sz w:val="32"/>
          <w:szCs w:val="32"/>
        </w:rPr>
        <w:t>资金使用情况。</w:t>
      </w:r>
      <w:r>
        <w:rPr>
          <w:rFonts w:hint="eastAsia" w:ascii="仿宋_GB2312" w:hAnsi="仿宋" w:eastAsia="仿宋_GB2312" w:cs="仿宋"/>
          <w:sz w:val="32"/>
          <w:szCs w:val="32"/>
        </w:rPr>
        <w:t>经核实，截止到</w:t>
      </w:r>
      <w:r>
        <w:rPr>
          <w:rFonts w:hint="eastAsia" w:ascii="Times New Roman" w:hAnsi="Times New Roman" w:eastAsia="仿宋_GB2312" w:cs="仿宋"/>
          <w:sz w:val="32"/>
          <w:szCs w:val="32"/>
        </w:rPr>
        <w:t>2019</w:t>
      </w:r>
      <w:r>
        <w:rPr>
          <w:rFonts w:hint="eastAsia" w:ascii="仿宋_GB2312" w:hAnsi="仿宋" w:eastAsia="仿宋_GB2312" w:cs="仿宋"/>
          <w:sz w:val="32"/>
          <w:szCs w:val="32"/>
        </w:rPr>
        <w:t>年底，项目支出资金</w:t>
      </w:r>
      <w:r>
        <w:rPr>
          <w:rFonts w:hint="eastAsia" w:ascii="Times New Roman" w:hAnsi="Times New Roman" w:eastAsia="仿宋_GB2312" w:cs="仿宋"/>
          <w:sz w:val="32"/>
          <w:szCs w:val="32"/>
        </w:rPr>
        <w:t>117.08</w:t>
      </w:r>
      <w:r>
        <w:rPr>
          <w:rFonts w:hint="eastAsia" w:ascii="仿宋_GB2312" w:hAnsi="仿宋" w:eastAsia="仿宋_GB2312" w:cs="仿宋"/>
          <w:sz w:val="32"/>
          <w:szCs w:val="32"/>
        </w:rPr>
        <w:t>万元，预算执行率为</w:t>
      </w:r>
      <w:r>
        <w:rPr>
          <w:rFonts w:hint="eastAsia" w:ascii="Times New Roman" w:hAnsi="Times New Roman" w:eastAsia="仿宋" w:cs="仿宋"/>
          <w:sz w:val="32"/>
          <w:szCs w:val="32"/>
        </w:rPr>
        <w:t>88.62</w:t>
      </w:r>
      <w:r>
        <w:rPr>
          <w:rFonts w:hint="eastAsia" w:ascii="仿宋" w:hAnsi="仿宋" w:eastAsia="仿宋" w:cs="仿宋"/>
          <w:sz w:val="32"/>
          <w:szCs w:val="32"/>
        </w:rPr>
        <w:t>%。具体资金使用情况祥见表</w:t>
      </w:r>
      <w:r>
        <w:rPr>
          <w:rFonts w:hint="eastAsia" w:ascii="Times New Roman" w:hAnsi="Times New Roman" w:eastAsia="仿宋" w:cs="仿宋"/>
          <w:sz w:val="32"/>
          <w:szCs w:val="32"/>
        </w:rPr>
        <w:t>1-4</w:t>
      </w:r>
      <w:r>
        <w:rPr>
          <w:rFonts w:hint="eastAsia" w:ascii="仿宋" w:hAnsi="仿宋" w:eastAsia="仿宋" w:cs="仿宋"/>
          <w:sz w:val="32"/>
          <w:szCs w:val="32"/>
        </w:rPr>
        <w:t>：</w:t>
      </w:r>
    </w:p>
    <w:p>
      <w:pPr>
        <w:jc w:val="center"/>
        <w:rPr>
          <w:rFonts w:ascii="黑体" w:hAnsi="黑体" w:eastAsia="黑体" w:cs="仿宋_GB2312"/>
          <w:sz w:val="28"/>
          <w:szCs w:val="28"/>
        </w:rPr>
      </w:pPr>
    </w:p>
    <w:p>
      <w:pPr>
        <w:jc w:val="center"/>
        <w:rPr>
          <w:rFonts w:ascii="黑体" w:hAnsi="黑体" w:eastAsia="黑体" w:cs="仿宋_GB2312"/>
          <w:sz w:val="28"/>
          <w:szCs w:val="28"/>
        </w:rPr>
      </w:pPr>
    </w:p>
    <w:p>
      <w:pPr>
        <w:jc w:val="center"/>
        <w:rPr>
          <w:rFonts w:ascii="黑体" w:hAnsi="黑体" w:eastAsia="黑体" w:cs="仿宋_GB2312"/>
          <w:sz w:val="28"/>
          <w:szCs w:val="28"/>
        </w:rPr>
      </w:pPr>
    </w:p>
    <w:p>
      <w:pPr>
        <w:jc w:val="center"/>
        <w:rPr>
          <w:rFonts w:ascii="黑体" w:hAnsi="黑体" w:eastAsia="黑体" w:cs="仿宋_GB2312"/>
          <w:sz w:val="28"/>
          <w:szCs w:val="28"/>
        </w:rPr>
      </w:pPr>
    </w:p>
    <w:p>
      <w:pPr>
        <w:jc w:val="center"/>
        <w:rPr>
          <w:rFonts w:ascii="黑体" w:hAnsi="黑体" w:eastAsia="黑体" w:cs="仿宋_GB2312"/>
          <w:sz w:val="28"/>
          <w:szCs w:val="28"/>
        </w:rPr>
      </w:pPr>
      <w:r>
        <w:rPr>
          <w:rFonts w:hint="eastAsia" w:ascii="黑体" w:hAnsi="黑体" w:eastAsia="黑体" w:cs="仿宋_GB2312"/>
          <w:sz w:val="28"/>
          <w:szCs w:val="28"/>
        </w:rPr>
        <w:t>表</w:t>
      </w:r>
      <w:r>
        <w:rPr>
          <w:rFonts w:hint="eastAsia" w:ascii="Times New Roman" w:hAnsi="Times New Roman" w:eastAsia="黑体" w:cs="仿宋_GB2312"/>
          <w:sz w:val="28"/>
          <w:szCs w:val="28"/>
        </w:rPr>
        <w:t>1</w:t>
      </w:r>
      <w:r>
        <w:rPr>
          <w:rFonts w:ascii="黑体" w:hAnsi="黑体" w:eastAsia="黑体" w:cs="仿宋_GB2312"/>
          <w:sz w:val="28"/>
          <w:szCs w:val="28"/>
        </w:rPr>
        <w:t>-</w:t>
      </w:r>
      <w:r>
        <w:rPr>
          <w:rFonts w:hint="eastAsia" w:ascii="Times New Roman" w:hAnsi="Times New Roman" w:eastAsia="黑体" w:cs="仿宋_GB2312"/>
          <w:sz w:val="28"/>
          <w:szCs w:val="28"/>
        </w:rPr>
        <w:t>4</w:t>
      </w:r>
      <w:r>
        <w:rPr>
          <w:rFonts w:hint="eastAsia" w:ascii="黑体" w:hAnsi="黑体" w:eastAsia="黑体" w:cs="仿宋_GB2312"/>
          <w:sz w:val="28"/>
          <w:szCs w:val="28"/>
        </w:rPr>
        <w:t xml:space="preserve"> 项目资金使用情况表</w:t>
      </w:r>
    </w:p>
    <w:p>
      <w:pPr>
        <w:ind w:firstLine="480" w:firstLineChars="200"/>
        <w:jc w:val="right"/>
        <w:rPr>
          <w:rFonts w:ascii="黑体" w:hAnsi="黑体" w:eastAsia="黑体" w:cs="仿宋_GB2312"/>
          <w:szCs w:val="28"/>
        </w:rPr>
      </w:pPr>
      <w:r>
        <w:rPr>
          <w:rFonts w:hint="eastAsia" w:ascii="黑体" w:hAnsi="黑体" w:eastAsia="黑体" w:cs="仿宋_GB2312"/>
          <w:szCs w:val="28"/>
        </w:rPr>
        <w:t>单位：万元</w:t>
      </w:r>
    </w:p>
    <w:tbl>
      <w:tblPr>
        <w:tblStyle w:val="18"/>
        <w:tblpPr w:leftFromText="180" w:rightFromText="180" w:vertAnchor="text" w:horzAnchor="page" w:tblpX="1570" w:tblpY="317"/>
        <w:tblOverlap w:val="never"/>
        <w:tblW w:w="8937" w:type="dxa"/>
        <w:tblInd w:w="0" w:type="dxa"/>
        <w:tblLayout w:type="fixed"/>
        <w:tblCellMar>
          <w:top w:w="0" w:type="dxa"/>
          <w:left w:w="0" w:type="dxa"/>
          <w:bottom w:w="0" w:type="dxa"/>
          <w:right w:w="0" w:type="dxa"/>
        </w:tblCellMar>
      </w:tblPr>
      <w:tblGrid>
        <w:gridCol w:w="911"/>
        <w:gridCol w:w="911"/>
        <w:gridCol w:w="911"/>
        <w:gridCol w:w="911"/>
        <w:gridCol w:w="912"/>
        <w:gridCol w:w="1317"/>
        <w:gridCol w:w="1230"/>
        <w:gridCol w:w="796"/>
        <w:gridCol w:w="1038"/>
      </w:tblGrid>
      <w:tr>
        <w:tblPrEx>
          <w:tblCellMar>
            <w:top w:w="0" w:type="dxa"/>
            <w:left w:w="0" w:type="dxa"/>
            <w:bottom w:w="0" w:type="dxa"/>
            <w:right w:w="0" w:type="dxa"/>
          </w:tblCellMar>
        </w:tblPrEx>
        <w:trPr>
          <w:trHeight w:val="181" w:hRule="atLeast"/>
          <w:tblHeader/>
        </w:trPr>
        <w:tc>
          <w:tcPr>
            <w:tcW w:w="911" w:type="dxa"/>
            <w:vMerge w:val="restart"/>
            <w:tcBorders>
              <w:top w:val="single" w:color="000000" w:sz="8" w:space="0"/>
              <w:left w:val="single" w:color="000000" w:sz="8" w:space="0"/>
              <w:bottom w:val="nil"/>
              <w:right w:val="single" w:color="000000" w:sz="8" w:space="0"/>
            </w:tcBorders>
            <w:shd w:val="clear" w:color="auto" w:fill="BEBEBE" w:themeFill="background1" w:themeFillShade="BF"/>
            <w:tcMar>
              <w:top w:w="15" w:type="dxa"/>
              <w:left w:w="15" w:type="dxa"/>
              <w:right w:w="15" w:type="dxa"/>
            </w:tcMar>
            <w:vAlign w:val="center"/>
          </w:tcPr>
          <w:p>
            <w:pPr>
              <w:jc w:val="center"/>
              <w:rPr>
                <w:b/>
                <w:bCs/>
                <w:color w:val="000000"/>
                <w:sz w:val="20"/>
                <w:szCs w:val="20"/>
              </w:rPr>
            </w:pPr>
            <w:r>
              <w:rPr>
                <w:rFonts w:hint="eastAsia"/>
                <w:b/>
                <w:bCs/>
                <w:color w:val="000000"/>
                <w:sz w:val="20"/>
                <w:szCs w:val="20"/>
              </w:rPr>
              <w:t>实施单位</w:t>
            </w:r>
          </w:p>
        </w:tc>
        <w:tc>
          <w:tcPr>
            <w:tcW w:w="911" w:type="dxa"/>
            <w:vMerge w:val="restart"/>
            <w:tcBorders>
              <w:top w:val="single" w:color="000000" w:sz="8" w:space="0"/>
              <w:left w:val="single" w:color="000000" w:sz="8" w:space="0"/>
              <w:bottom w:val="nil"/>
              <w:right w:val="single" w:color="000000" w:sz="8" w:space="0"/>
            </w:tcBorders>
            <w:shd w:val="clear" w:color="auto" w:fill="BEBEBE" w:themeFill="background1" w:themeFillShade="BF"/>
            <w:tcMar>
              <w:top w:w="15" w:type="dxa"/>
              <w:left w:w="15" w:type="dxa"/>
              <w:right w:w="15" w:type="dxa"/>
            </w:tcMar>
            <w:vAlign w:val="center"/>
          </w:tcPr>
          <w:p>
            <w:pPr>
              <w:jc w:val="center"/>
              <w:rPr>
                <w:b/>
                <w:bCs/>
                <w:color w:val="000000"/>
                <w:sz w:val="20"/>
                <w:szCs w:val="20"/>
              </w:rPr>
            </w:pPr>
            <w:r>
              <w:rPr>
                <w:b/>
                <w:bCs/>
                <w:color w:val="000000"/>
                <w:sz w:val="20"/>
                <w:szCs w:val="20"/>
              </w:rPr>
              <w:t>项目总投资</w:t>
            </w:r>
          </w:p>
        </w:tc>
        <w:tc>
          <w:tcPr>
            <w:tcW w:w="911" w:type="dxa"/>
            <w:vMerge w:val="restart"/>
            <w:tcBorders>
              <w:top w:val="single" w:color="000000" w:sz="8" w:space="0"/>
              <w:left w:val="single" w:color="000000" w:sz="8" w:space="0"/>
              <w:bottom w:val="nil"/>
              <w:right w:val="single" w:color="000000" w:sz="8" w:space="0"/>
            </w:tcBorders>
            <w:shd w:val="clear" w:color="auto" w:fill="BEBEBE" w:themeFill="background1" w:themeFillShade="BF"/>
            <w:tcMar>
              <w:top w:w="15" w:type="dxa"/>
              <w:left w:w="15" w:type="dxa"/>
              <w:right w:w="15" w:type="dxa"/>
            </w:tcMar>
            <w:vAlign w:val="center"/>
          </w:tcPr>
          <w:p>
            <w:pPr>
              <w:jc w:val="center"/>
              <w:rPr>
                <w:b/>
                <w:bCs/>
                <w:color w:val="000000"/>
                <w:sz w:val="20"/>
                <w:szCs w:val="20"/>
              </w:rPr>
            </w:pPr>
            <w:r>
              <w:rPr>
                <w:b/>
                <w:bCs/>
                <w:color w:val="000000"/>
                <w:sz w:val="20"/>
                <w:szCs w:val="20"/>
              </w:rPr>
              <w:t>预算资金</w:t>
            </w:r>
          </w:p>
        </w:tc>
        <w:tc>
          <w:tcPr>
            <w:tcW w:w="1823" w:type="dxa"/>
            <w:gridSpan w:val="2"/>
            <w:tcBorders>
              <w:top w:val="single" w:color="000000" w:sz="8" w:space="0"/>
              <w:left w:val="single" w:color="000000" w:sz="8" w:space="0"/>
              <w:bottom w:val="single" w:color="000000" w:sz="8" w:space="0"/>
              <w:right w:val="single" w:color="000000" w:sz="8" w:space="0"/>
            </w:tcBorders>
            <w:shd w:val="clear" w:color="auto" w:fill="BEBEBE" w:themeFill="background1" w:themeFillShade="BF"/>
            <w:noWrap/>
            <w:tcMar>
              <w:top w:w="15" w:type="dxa"/>
              <w:left w:w="15" w:type="dxa"/>
              <w:right w:w="15" w:type="dxa"/>
            </w:tcMar>
            <w:vAlign w:val="center"/>
          </w:tcPr>
          <w:p>
            <w:pPr>
              <w:jc w:val="center"/>
              <w:rPr>
                <w:b/>
                <w:bCs/>
                <w:color w:val="000000"/>
                <w:sz w:val="20"/>
                <w:szCs w:val="20"/>
              </w:rPr>
            </w:pPr>
            <w:r>
              <w:rPr>
                <w:b/>
                <w:bCs/>
                <w:color w:val="000000"/>
                <w:sz w:val="20"/>
                <w:szCs w:val="20"/>
              </w:rPr>
              <w:t>到位资金</w:t>
            </w:r>
          </w:p>
        </w:tc>
        <w:tc>
          <w:tcPr>
            <w:tcW w:w="3343" w:type="dxa"/>
            <w:gridSpan w:val="3"/>
            <w:tcBorders>
              <w:top w:val="single" w:color="000000" w:sz="8" w:space="0"/>
              <w:left w:val="single" w:color="000000" w:sz="8" w:space="0"/>
              <w:bottom w:val="single" w:color="000000" w:sz="8" w:space="0"/>
              <w:right w:val="single" w:color="000000" w:sz="8" w:space="0"/>
            </w:tcBorders>
            <w:shd w:val="clear" w:color="auto" w:fill="BEBEBE" w:themeFill="background1" w:themeFillShade="BF"/>
            <w:tcMar>
              <w:top w:w="15" w:type="dxa"/>
              <w:left w:w="15" w:type="dxa"/>
              <w:right w:w="15" w:type="dxa"/>
            </w:tcMar>
            <w:vAlign w:val="center"/>
          </w:tcPr>
          <w:p>
            <w:pPr>
              <w:jc w:val="center"/>
              <w:rPr>
                <w:b/>
                <w:bCs/>
                <w:color w:val="000000"/>
                <w:sz w:val="20"/>
                <w:szCs w:val="20"/>
              </w:rPr>
            </w:pPr>
            <w:r>
              <w:rPr>
                <w:b/>
                <w:bCs/>
                <w:color w:val="000000"/>
                <w:sz w:val="20"/>
                <w:szCs w:val="20"/>
              </w:rPr>
              <w:t>付款</w:t>
            </w:r>
          </w:p>
        </w:tc>
        <w:tc>
          <w:tcPr>
            <w:tcW w:w="1038" w:type="dxa"/>
            <w:vMerge w:val="restart"/>
            <w:tcBorders>
              <w:top w:val="single" w:color="000000" w:sz="8" w:space="0"/>
              <w:left w:val="single" w:color="000000" w:sz="8" w:space="0"/>
              <w:bottom w:val="nil"/>
              <w:right w:val="single" w:color="000000" w:sz="8" w:space="0"/>
            </w:tcBorders>
            <w:shd w:val="clear" w:color="auto" w:fill="BEBEBE" w:themeFill="background1" w:themeFillShade="BF"/>
            <w:tcMar>
              <w:top w:w="15" w:type="dxa"/>
              <w:left w:w="15" w:type="dxa"/>
              <w:right w:w="15" w:type="dxa"/>
            </w:tcMar>
            <w:vAlign w:val="center"/>
          </w:tcPr>
          <w:p>
            <w:pPr>
              <w:jc w:val="center"/>
              <w:textAlignment w:val="center"/>
              <w:rPr>
                <w:rFonts w:ascii="仿宋_GB2312" w:eastAsia="仿宋_GB2312" w:cs="仿宋_GB2312"/>
                <w:b/>
                <w:color w:val="000000"/>
              </w:rPr>
            </w:pPr>
            <w:r>
              <w:rPr>
                <w:b/>
                <w:bCs/>
                <w:color w:val="000000"/>
                <w:sz w:val="20"/>
                <w:szCs w:val="20"/>
                <w:shd w:val="clear" w:color="auto" w:fill="BEBEBE" w:themeFill="background1" w:themeFillShade="BF"/>
              </w:rPr>
              <w:t>结余资金</w:t>
            </w:r>
          </w:p>
        </w:tc>
      </w:tr>
      <w:tr>
        <w:tblPrEx>
          <w:tblCellMar>
            <w:top w:w="0" w:type="dxa"/>
            <w:left w:w="0" w:type="dxa"/>
            <w:bottom w:w="0" w:type="dxa"/>
            <w:right w:w="0" w:type="dxa"/>
          </w:tblCellMar>
        </w:tblPrEx>
        <w:trPr>
          <w:trHeight w:val="216" w:hRule="atLeast"/>
          <w:tblHeader/>
        </w:trPr>
        <w:tc>
          <w:tcPr>
            <w:tcW w:w="911" w:type="dxa"/>
            <w:vMerge w:val="continue"/>
            <w:tcBorders>
              <w:top w:val="single" w:color="000000" w:sz="8" w:space="0"/>
              <w:left w:val="single" w:color="000000" w:sz="8" w:space="0"/>
              <w:bottom w:val="nil"/>
              <w:right w:val="single" w:color="000000" w:sz="8" w:space="0"/>
            </w:tcBorders>
            <w:shd w:val="clear" w:color="auto" w:fill="BEBEBE" w:themeFill="background1" w:themeFillShade="BF"/>
            <w:tcMar>
              <w:top w:w="15" w:type="dxa"/>
              <w:left w:w="15" w:type="dxa"/>
              <w:right w:w="15" w:type="dxa"/>
            </w:tcMar>
            <w:vAlign w:val="center"/>
          </w:tcPr>
          <w:p>
            <w:pPr>
              <w:jc w:val="center"/>
              <w:rPr>
                <w:b/>
                <w:bCs/>
                <w:color w:val="000000"/>
                <w:sz w:val="20"/>
                <w:szCs w:val="20"/>
              </w:rPr>
            </w:pPr>
          </w:p>
        </w:tc>
        <w:tc>
          <w:tcPr>
            <w:tcW w:w="911" w:type="dxa"/>
            <w:vMerge w:val="continue"/>
            <w:tcBorders>
              <w:top w:val="single" w:color="000000" w:sz="8" w:space="0"/>
              <w:left w:val="single" w:color="000000" w:sz="8" w:space="0"/>
              <w:bottom w:val="nil"/>
              <w:right w:val="single" w:color="000000" w:sz="8" w:space="0"/>
            </w:tcBorders>
            <w:shd w:val="clear" w:color="auto" w:fill="BEBEBE" w:themeFill="background1" w:themeFillShade="BF"/>
            <w:tcMar>
              <w:top w:w="15" w:type="dxa"/>
              <w:left w:w="15" w:type="dxa"/>
              <w:right w:w="15" w:type="dxa"/>
            </w:tcMar>
            <w:vAlign w:val="center"/>
          </w:tcPr>
          <w:p>
            <w:pPr>
              <w:jc w:val="center"/>
              <w:rPr>
                <w:b/>
                <w:bCs/>
                <w:color w:val="000000"/>
                <w:sz w:val="20"/>
                <w:szCs w:val="20"/>
              </w:rPr>
            </w:pPr>
          </w:p>
        </w:tc>
        <w:tc>
          <w:tcPr>
            <w:tcW w:w="911" w:type="dxa"/>
            <w:vMerge w:val="continue"/>
            <w:tcBorders>
              <w:top w:val="single" w:color="000000" w:sz="8" w:space="0"/>
              <w:left w:val="single" w:color="000000" w:sz="8" w:space="0"/>
              <w:bottom w:val="nil"/>
              <w:right w:val="single" w:color="000000" w:sz="8" w:space="0"/>
            </w:tcBorders>
            <w:shd w:val="clear" w:color="auto" w:fill="BEBEBE" w:themeFill="background1" w:themeFillShade="BF"/>
            <w:tcMar>
              <w:top w:w="15" w:type="dxa"/>
              <w:left w:w="15" w:type="dxa"/>
              <w:right w:w="15" w:type="dxa"/>
            </w:tcMar>
            <w:vAlign w:val="center"/>
          </w:tcPr>
          <w:p>
            <w:pPr>
              <w:jc w:val="center"/>
              <w:rPr>
                <w:b/>
                <w:bCs/>
                <w:color w:val="000000"/>
                <w:sz w:val="20"/>
                <w:szCs w:val="20"/>
              </w:rPr>
            </w:pPr>
          </w:p>
        </w:tc>
        <w:tc>
          <w:tcPr>
            <w:tcW w:w="911" w:type="dxa"/>
            <w:tcBorders>
              <w:top w:val="nil"/>
              <w:left w:val="nil"/>
              <w:bottom w:val="nil"/>
              <w:right w:val="single" w:color="000000" w:sz="8" w:space="0"/>
            </w:tcBorders>
            <w:shd w:val="clear" w:color="auto" w:fill="BEBEBE" w:themeFill="background1" w:themeFillShade="BF"/>
            <w:tcMar>
              <w:top w:w="15" w:type="dxa"/>
              <w:left w:w="15" w:type="dxa"/>
              <w:right w:w="15" w:type="dxa"/>
            </w:tcMar>
            <w:vAlign w:val="center"/>
          </w:tcPr>
          <w:p>
            <w:pPr>
              <w:jc w:val="center"/>
              <w:rPr>
                <w:b/>
                <w:bCs/>
                <w:color w:val="000000"/>
                <w:sz w:val="20"/>
                <w:szCs w:val="20"/>
              </w:rPr>
            </w:pPr>
            <w:r>
              <w:rPr>
                <w:b/>
                <w:bCs/>
                <w:color w:val="000000"/>
                <w:sz w:val="20"/>
                <w:szCs w:val="20"/>
              </w:rPr>
              <w:t>来源</w:t>
            </w:r>
          </w:p>
        </w:tc>
        <w:tc>
          <w:tcPr>
            <w:tcW w:w="912" w:type="dxa"/>
            <w:tcBorders>
              <w:top w:val="single" w:color="000000" w:sz="8" w:space="0"/>
              <w:left w:val="nil"/>
              <w:bottom w:val="nil"/>
              <w:right w:val="single" w:color="000000" w:sz="8" w:space="0"/>
            </w:tcBorders>
            <w:shd w:val="clear" w:color="auto" w:fill="BEBEBE" w:themeFill="background1" w:themeFillShade="BF"/>
            <w:tcMar>
              <w:top w:w="15" w:type="dxa"/>
              <w:left w:w="15" w:type="dxa"/>
              <w:right w:w="15" w:type="dxa"/>
            </w:tcMar>
            <w:vAlign w:val="center"/>
          </w:tcPr>
          <w:p>
            <w:pPr>
              <w:jc w:val="center"/>
              <w:rPr>
                <w:b/>
                <w:bCs/>
                <w:color w:val="000000"/>
                <w:sz w:val="20"/>
                <w:szCs w:val="20"/>
              </w:rPr>
            </w:pPr>
            <w:r>
              <w:rPr>
                <w:b/>
                <w:bCs/>
                <w:color w:val="000000"/>
                <w:sz w:val="20"/>
                <w:szCs w:val="20"/>
              </w:rPr>
              <w:t>金额</w:t>
            </w:r>
          </w:p>
        </w:tc>
        <w:tc>
          <w:tcPr>
            <w:tcW w:w="1317" w:type="dxa"/>
            <w:tcBorders>
              <w:top w:val="nil"/>
              <w:left w:val="nil"/>
              <w:bottom w:val="nil"/>
              <w:right w:val="single" w:color="000000" w:sz="8" w:space="0"/>
            </w:tcBorders>
            <w:shd w:val="clear" w:color="auto" w:fill="BEBEBE" w:themeFill="background1" w:themeFillShade="BF"/>
            <w:noWrap/>
            <w:tcMar>
              <w:top w:w="15" w:type="dxa"/>
              <w:left w:w="15" w:type="dxa"/>
              <w:right w:w="15" w:type="dxa"/>
            </w:tcMar>
            <w:vAlign w:val="center"/>
          </w:tcPr>
          <w:p>
            <w:pPr>
              <w:jc w:val="center"/>
              <w:rPr>
                <w:b/>
                <w:bCs/>
                <w:color w:val="000000"/>
                <w:sz w:val="20"/>
                <w:szCs w:val="20"/>
              </w:rPr>
            </w:pPr>
            <w:r>
              <w:rPr>
                <w:b/>
                <w:bCs/>
                <w:color w:val="000000"/>
                <w:sz w:val="20"/>
                <w:szCs w:val="20"/>
              </w:rPr>
              <w:t>付款时间</w:t>
            </w:r>
          </w:p>
        </w:tc>
        <w:tc>
          <w:tcPr>
            <w:tcW w:w="1230" w:type="dxa"/>
            <w:tcBorders>
              <w:top w:val="nil"/>
              <w:left w:val="nil"/>
              <w:bottom w:val="nil"/>
              <w:right w:val="single" w:color="000000" w:sz="8" w:space="0"/>
            </w:tcBorders>
            <w:shd w:val="clear" w:color="auto" w:fill="BEBEBE" w:themeFill="background1" w:themeFillShade="BF"/>
            <w:noWrap/>
            <w:tcMar>
              <w:top w:w="15" w:type="dxa"/>
              <w:left w:w="15" w:type="dxa"/>
              <w:right w:w="15" w:type="dxa"/>
            </w:tcMar>
            <w:vAlign w:val="center"/>
          </w:tcPr>
          <w:p>
            <w:pPr>
              <w:jc w:val="center"/>
              <w:rPr>
                <w:b/>
                <w:bCs/>
                <w:color w:val="000000"/>
                <w:sz w:val="20"/>
                <w:szCs w:val="20"/>
              </w:rPr>
            </w:pPr>
            <w:r>
              <w:rPr>
                <w:b/>
                <w:bCs/>
                <w:color w:val="000000"/>
                <w:sz w:val="20"/>
                <w:szCs w:val="20"/>
              </w:rPr>
              <w:t>内容</w:t>
            </w:r>
          </w:p>
        </w:tc>
        <w:tc>
          <w:tcPr>
            <w:tcW w:w="796" w:type="dxa"/>
            <w:tcBorders>
              <w:top w:val="nil"/>
              <w:left w:val="nil"/>
              <w:bottom w:val="nil"/>
              <w:right w:val="single" w:color="000000" w:sz="8" w:space="0"/>
            </w:tcBorders>
            <w:shd w:val="clear" w:color="auto" w:fill="BEBEBE" w:themeFill="background1" w:themeFillShade="BF"/>
            <w:tcMar>
              <w:top w:w="15" w:type="dxa"/>
              <w:left w:w="15" w:type="dxa"/>
              <w:right w:w="15" w:type="dxa"/>
            </w:tcMar>
            <w:vAlign w:val="center"/>
          </w:tcPr>
          <w:p>
            <w:pPr>
              <w:jc w:val="center"/>
              <w:rPr>
                <w:b/>
                <w:bCs/>
                <w:color w:val="000000"/>
                <w:sz w:val="20"/>
                <w:szCs w:val="20"/>
              </w:rPr>
            </w:pPr>
            <w:r>
              <w:rPr>
                <w:b/>
                <w:bCs/>
                <w:color w:val="000000"/>
                <w:sz w:val="20"/>
                <w:szCs w:val="20"/>
              </w:rPr>
              <w:t>金额</w:t>
            </w:r>
          </w:p>
        </w:tc>
        <w:tc>
          <w:tcPr>
            <w:tcW w:w="1038" w:type="dxa"/>
            <w:vMerge w:val="continue"/>
            <w:tcBorders>
              <w:top w:val="single" w:color="000000" w:sz="8" w:space="0"/>
              <w:left w:val="single" w:color="000000" w:sz="8" w:space="0"/>
              <w:bottom w:val="nil"/>
              <w:right w:val="single" w:color="000000" w:sz="8" w:space="0"/>
            </w:tcBorders>
            <w:shd w:val="clear" w:color="auto" w:fill="BEBEBE" w:themeFill="background1" w:themeFillShade="BF"/>
            <w:tcMar>
              <w:top w:w="15" w:type="dxa"/>
              <w:left w:w="15" w:type="dxa"/>
              <w:right w:w="15" w:type="dxa"/>
            </w:tcMar>
            <w:vAlign w:val="center"/>
          </w:tcPr>
          <w:p>
            <w:pPr>
              <w:jc w:val="center"/>
              <w:rPr>
                <w:rFonts w:ascii="仿宋_GB2312" w:eastAsia="仿宋_GB2312" w:cs="仿宋_GB2312"/>
                <w:b/>
                <w:color w:val="000000"/>
              </w:rPr>
            </w:pPr>
          </w:p>
        </w:tc>
      </w:tr>
      <w:tr>
        <w:tblPrEx>
          <w:tblCellMar>
            <w:top w:w="0" w:type="dxa"/>
            <w:left w:w="0" w:type="dxa"/>
            <w:bottom w:w="0" w:type="dxa"/>
            <w:right w:w="0" w:type="dxa"/>
          </w:tblCellMar>
        </w:tblPrEx>
        <w:trPr>
          <w:trHeight w:val="395" w:hRule="atLeast"/>
        </w:trPr>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_GB2312" w:eastAsia="仿宋_GB2312" w:cs="仿宋_GB2312"/>
                <w:color w:val="000000"/>
              </w:rPr>
            </w:pPr>
            <w:r>
              <w:rPr>
                <w:rFonts w:hint="eastAsia" w:cs="仿宋_GB2312"/>
                <w:color w:val="000000"/>
                <w:sz w:val="20"/>
                <w:szCs w:val="20"/>
              </w:rPr>
              <w:t>圣人涧镇人民政府</w:t>
            </w: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140</w:t>
            </w: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132.12</w:t>
            </w: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_GB2312" w:eastAsia="仿宋_GB2312" w:cs="仿宋_GB2312"/>
                <w:color w:val="000000"/>
              </w:rPr>
            </w:pPr>
            <w:r>
              <w:rPr>
                <w:rFonts w:cs="仿宋_GB2312"/>
                <w:color w:val="000000"/>
                <w:sz w:val="20"/>
                <w:szCs w:val="20"/>
              </w:rPr>
              <w:t>统筹整合财政资金</w:t>
            </w:r>
          </w:p>
        </w:tc>
        <w:tc>
          <w:tcPr>
            <w:tcW w:w="9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132.12</w:t>
            </w:r>
          </w:p>
        </w:tc>
        <w:tc>
          <w:tcPr>
            <w:tcW w:w="131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2019/10/16</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仿宋_GB2312"/>
                <w:color w:val="000000"/>
                <w:sz w:val="20"/>
                <w:szCs w:val="20"/>
              </w:rPr>
            </w:pPr>
            <w:r>
              <w:rPr>
                <w:rFonts w:hint="eastAsia" w:cs="仿宋_GB2312"/>
                <w:color w:val="000000"/>
                <w:sz w:val="20"/>
                <w:szCs w:val="20"/>
              </w:rPr>
              <w:t>支勘察设计费</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仿宋" w:cs="Times New Roman"/>
                <w:sz w:val="20"/>
                <w:szCs w:val="20"/>
              </w:rPr>
            </w:pPr>
            <w:r>
              <w:rPr>
                <w:rFonts w:ascii="Times New Roman" w:hAnsi="Times New Roman" w:eastAsia="仿宋" w:cs="Times New Roman"/>
                <w:sz w:val="20"/>
                <w:szCs w:val="20"/>
              </w:rPr>
              <w:t>2.42</w:t>
            </w:r>
          </w:p>
        </w:tc>
        <w:tc>
          <w:tcPr>
            <w:tcW w:w="10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_GB2312" w:eastAsia="仿宋_GB2312" w:cs="仿宋_GB2312"/>
                <w:color w:val="000000"/>
              </w:rPr>
            </w:pPr>
            <w:r>
              <w:rPr>
                <w:rFonts w:ascii="Times New Roman" w:hAnsi="Times New Roman" w:eastAsia="仿宋" w:cs="Times New Roman"/>
                <w:sz w:val="20"/>
                <w:szCs w:val="20"/>
              </w:rPr>
              <w:t>15.04</w:t>
            </w:r>
          </w:p>
        </w:tc>
      </w:tr>
      <w:tr>
        <w:tblPrEx>
          <w:tblCellMar>
            <w:top w:w="0" w:type="dxa"/>
            <w:left w:w="0" w:type="dxa"/>
            <w:bottom w:w="0" w:type="dxa"/>
            <w:right w:w="0" w:type="dxa"/>
          </w:tblCellMar>
        </w:tblPrEx>
        <w:trPr>
          <w:trHeight w:val="395"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ascii="Times New Roman" w:hAnsi="Times New Roman" w:eastAsia="仿宋" w:cs="Times New Roman"/>
                <w:sz w:val="20"/>
                <w:szCs w:val="20"/>
              </w:rPr>
            </w:pPr>
          </w:p>
        </w:tc>
        <w:tc>
          <w:tcPr>
            <w:tcW w:w="131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ascii="Times New Roman" w:hAnsi="Times New Roman" w:eastAsia="仿宋" w:cs="Times New Roman"/>
                <w:sz w:val="20"/>
                <w:szCs w:val="20"/>
              </w:rPr>
            </w:pPr>
            <w:r>
              <w:rPr>
                <w:rFonts w:ascii="Times New Roman" w:hAnsi="Times New Roman" w:eastAsia="仿宋" w:cs="Times New Roman"/>
                <w:sz w:val="20"/>
                <w:szCs w:val="20"/>
              </w:rPr>
              <w:t>2019/11/14</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cs="仿宋_GB2312"/>
                <w:color w:val="000000"/>
                <w:sz w:val="20"/>
                <w:szCs w:val="20"/>
              </w:rPr>
            </w:pPr>
            <w:r>
              <w:rPr>
                <w:rFonts w:hint="eastAsia" w:cs="仿宋_GB2312"/>
                <w:color w:val="000000"/>
                <w:sz w:val="20"/>
                <w:szCs w:val="20"/>
              </w:rPr>
              <w:t>支</w:t>
            </w:r>
            <w:r>
              <w:rPr>
                <w:rFonts w:cs="仿宋_GB2312"/>
                <w:color w:val="000000"/>
                <w:sz w:val="20"/>
                <w:szCs w:val="20"/>
              </w:rPr>
              <w:t>工程款</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ascii="Times New Roman" w:hAnsi="Times New Roman" w:eastAsia="仿宋" w:cs="Times New Roman"/>
                <w:sz w:val="20"/>
                <w:szCs w:val="20"/>
              </w:rPr>
            </w:pPr>
            <w:r>
              <w:rPr>
                <w:rFonts w:ascii="Times New Roman" w:hAnsi="Times New Roman" w:eastAsia="仿宋" w:cs="Times New Roman"/>
                <w:sz w:val="20"/>
                <w:szCs w:val="20"/>
              </w:rPr>
              <w:t>89.18</w:t>
            </w: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p>
        </w:tc>
      </w:tr>
      <w:tr>
        <w:tblPrEx>
          <w:tblCellMar>
            <w:top w:w="0" w:type="dxa"/>
            <w:left w:w="0" w:type="dxa"/>
            <w:bottom w:w="0" w:type="dxa"/>
            <w:right w:w="0" w:type="dxa"/>
          </w:tblCellMar>
        </w:tblPrEx>
        <w:trPr>
          <w:trHeight w:val="395"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ascii="Times New Roman" w:hAnsi="Times New Roman" w:eastAsia="仿宋" w:cs="Times New Roman"/>
                <w:sz w:val="20"/>
                <w:szCs w:val="20"/>
              </w:rPr>
            </w:pPr>
          </w:p>
        </w:tc>
        <w:tc>
          <w:tcPr>
            <w:tcW w:w="131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ascii="Times New Roman" w:hAnsi="Times New Roman" w:eastAsia="仿宋" w:cs="Times New Roman"/>
                <w:sz w:val="20"/>
                <w:szCs w:val="20"/>
              </w:rPr>
            </w:pPr>
            <w:r>
              <w:rPr>
                <w:rFonts w:ascii="Times New Roman" w:hAnsi="Times New Roman" w:eastAsia="仿宋" w:cs="Times New Roman"/>
                <w:sz w:val="20"/>
                <w:szCs w:val="20"/>
              </w:rPr>
              <w:t>2019/12/13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cs="仿宋_GB2312"/>
                <w:color w:val="000000"/>
                <w:sz w:val="20"/>
                <w:szCs w:val="20"/>
              </w:rPr>
            </w:pPr>
            <w:r>
              <w:rPr>
                <w:rFonts w:hint="eastAsia" w:cs="仿宋_GB2312"/>
                <w:color w:val="000000"/>
                <w:sz w:val="20"/>
                <w:szCs w:val="20"/>
              </w:rPr>
              <w:t>支</w:t>
            </w:r>
            <w:r>
              <w:rPr>
                <w:rFonts w:cs="仿宋_GB2312"/>
                <w:color w:val="000000"/>
                <w:sz w:val="20"/>
                <w:szCs w:val="20"/>
              </w:rPr>
              <w:t>工程款</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 xml:space="preserve">25.48 </w:t>
            </w: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p>
        </w:tc>
      </w:tr>
      <w:tr>
        <w:trPr>
          <w:trHeight w:val="39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hint="eastAsia" w:ascii="仿宋_GB2312" w:eastAsia="仿宋_GB2312" w:cs="仿宋_GB2312"/>
                <w:color w:val="000000"/>
              </w:rPr>
              <w:t>合计</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ascii="Times New Roman" w:hAnsi="Times New Roman" w:eastAsia="仿宋" w:cs="Times New Roman"/>
                <w:sz w:val="20"/>
                <w:szCs w:val="20"/>
              </w:rPr>
              <w:t>140</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ascii="Times New Roman" w:hAnsi="Times New Roman" w:eastAsia="仿宋" w:cs="Times New Roman"/>
                <w:sz w:val="20"/>
                <w:szCs w:val="20"/>
              </w:rPr>
              <w:t>132.12</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ascii="仿宋_GB2312" w:eastAsia="仿宋_GB2312" w:cs="仿宋_GB2312"/>
                <w:color w:val="000000"/>
              </w:rPr>
              <w:t>-</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ascii="Times New Roman" w:hAnsi="Times New Roman" w:eastAsia="仿宋" w:cs="Times New Roman"/>
                <w:sz w:val="20"/>
                <w:szCs w:val="20"/>
              </w:rPr>
            </w:pPr>
            <w:r>
              <w:rPr>
                <w:rFonts w:ascii="Times New Roman" w:hAnsi="Times New Roman" w:eastAsia="仿宋" w:cs="Times New Roman"/>
                <w:sz w:val="20"/>
                <w:szCs w:val="20"/>
              </w:rPr>
              <w:t>132.12</w:t>
            </w:r>
          </w:p>
        </w:tc>
        <w:tc>
          <w:tcPr>
            <w:tcW w:w="131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ascii="Times New Roman" w:hAnsi="Times New Roman" w:eastAsia="仿宋" w:cs="Times New Roman"/>
                <w:sz w:val="20"/>
                <w:szCs w:val="20"/>
              </w:rPr>
            </w:pPr>
            <w:r>
              <w:rPr>
                <w:rFonts w:ascii="Times New Roman" w:hAnsi="Times New Roman" w:eastAsia="仿宋" w:cs="Times New Roman"/>
                <w:sz w:val="20"/>
                <w:szCs w:val="20"/>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cs="仿宋_GB2312"/>
                <w:color w:val="000000"/>
                <w:sz w:val="20"/>
                <w:szCs w:val="20"/>
              </w:rPr>
            </w:pPr>
            <w:r>
              <w:rPr>
                <w:rFonts w:cs="仿宋_GB2312"/>
                <w:color w:val="000000"/>
                <w:sz w:val="20"/>
                <w:szCs w:val="20"/>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ascii="Times New Roman" w:hAnsi="Times New Roman" w:eastAsia="仿宋" w:cs="Times New Roman"/>
                <w:sz w:val="20"/>
                <w:szCs w:val="20"/>
              </w:rPr>
            </w:pPr>
            <w:r>
              <w:rPr>
                <w:rFonts w:hint="eastAsia" w:ascii="Times New Roman" w:hAnsi="Times New Roman" w:eastAsia="仿宋" w:cs="Times New Roman"/>
                <w:sz w:val="20"/>
                <w:szCs w:val="20"/>
              </w:rPr>
              <w:t>117.08</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eastAsia="仿宋_GB2312" w:cs="仿宋_GB2312"/>
                <w:color w:val="000000"/>
              </w:rPr>
            </w:pPr>
            <w:r>
              <w:rPr>
                <w:rFonts w:ascii="Times New Roman" w:hAnsi="Times New Roman" w:eastAsia="仿宋" w:cs="Times New Roman"/>
                <w:sz w:val="20"/>
                <w:szCs w:val="20"/>
              </w:rPr>
              <w:t>15.04</w:t>
            </w:r>
          </w:p>
        </w:tc>
      </w:tr>
    </w:tbl>
    <w:p>
      <w:pPr>
        <w:ind w:firstLine="643" w:firstLineChars="200"/>
        <w:rPr>
          <w:rFonts w:ascii="仿宋" w:hAnsi="仿宋" w:eastAsia="仿宋" w:cs="仿宋"/>
          <w:sz w:val="32"/>
          <w:szCs w:val="32"/>
        </w:rPr>
      </w:pPr>
      <w:r>
        <w:rPr>
          <w:rFonts w:hint="eastAsia" w:ascii="Times New Roman" w:hAnsi="Times New Roman" w:eastAsia="仿宋_GB2312" w:cs="仿宋"/>
          <w:b/>
          <w:sz w:val="32"/>
          <w:szCs w:val="32"/>
        </w:rPr>
        <w:t>3</w:t>
      </w:r>
      <w:r>
        <w:rPr>
          <w:rFonts w:hint="eastAsia" w:ascii="仿宋_GB2312" w:hAnsi="Times New Roman" w:eastAsia="仿宋_GB2312" w:cs="仿宋"/>
          <w:b/>
          <w:sz w:val="32"/>
          <w:szCs w:val="32"/>
        </w:rPr>
        <w:t>.</w:t>
      </w:r>
      <w:r>
        <w:rPr>
          <w:rFonts w:hint="eastAsia" w:ascii="仿宋_GB2312" w:hAnsi="仿宋" w:eastAsia="仿宋_GB2312" w:cs="仿宋"/>
          <w:b/>
          <w:sz w:val="32"/>
          <w:szCs w:val="32"/>
        </w:rPr>
        <w:t>资金结余结转情况。</w:t>
      </w:r>
      <w:r>
        <w:rPr>
          <w:rFonts w:hint="eastAsia" w:ascii="仿宋_GB2312" w:hAnsi="仿宋_GB2312" w:eastAsia="仿宋_GB2312" w:cs="仿宋_GB2312"/>
          <w:sz w:val="32"/>
          <w:szCs w:val="32"/>
        </w:rPr>
        <w:t>项目结余资金</w:t>
      </w:r>
      <w:r>
        <w:rPr>
          <w:rFonts w:hint="eastAsia" w:ascii="Times New Roman" w:hAnsi="Times New Roman" w:eastAsia="仿宋" w:cs="仿宋"/>
          <w:sz w:val="32"/>
          <w:szCs w:val="32"/>
        </w:rPr>
        <w:t>15.04</w:t>
      </w:r>
      <w:r>
        <w:rPr>
          <w:rFonts w:hint="eastAsia" w:ascii="仿宋_GB2312" w:hAnsi="仿宋_GB2312" w:eastAsia="仿宋_GB2312" w:cs="仿宋_GB2312"/>
          <w:sz w:val="32"/>
          <w:szCs w:val="32"/>
        </w:rPr>
        <w:t>万元。结余的资金结转下年按原用途使用。</w:t>
      </w:r>
    </w:p>
    <w:p>
      <w:pPr>
        <w:ind w:firstLine="640" w:firstLineChars="200"/>
        <w:outlineLvl w:val="1"/>
        <w:rPr>
          <w:rFonts w:ascii="楷体" w:hAnsi="楷体" w:eastAsia="楷体" w:cs="Times New Roman"/>
          <w:bCs/>
          <w:sz w:val="32"/>
          <w:szCs w:val="32"/>
        </w:rPr>
      </w:pPr>
      <w:bookmarkStart w:id="17" w:name="_Toc13045370"/>
      <w:bookmarkStart w:id="18" w:name="_Toc8933"/>
      <w:r>
        <w:rPr>
          <w:rFonts w:hint="eastAsia" w:ascii="楷体" w:hAnsi="楷体" w:eastAsia="楷体" w:cs="Times New Roman"/>
          <w:bCs/>
          <w:sz w:val="32"/>
          <w:szCs w:val="32"/>
        </w:rPr>
        <w:t>（四）项目</w:t>
      </w:r>
      <w:bookmarkEnd w:id="17"/>
      <w:r>
        <w:rPr>
          <w:rFonts w:hint="eastAsia" w:ascii="楷体" w:hAnsi="楷体" w:eastAsia="楷体" w:cs="Times New Roman"/>
          <w:bCs/>
          <w:sz w:val="32"/>
          <w:szCs w:val="32"/>
        </w:rPr>
        <w:t>实施时间、主体和内容</w:t>
      </w:r>
      <w:bookmarkEnd w:id="18"/>
    </w:p>
    <w:p>
      <w:pPr>
        <w:ind w:firstLine="643" w:firstLineChars="200"/>
        <w:rPr>
          <w:rFonts w:ascii="仿宋_GB2312" w:hAnsi="仿宋_GB2312" w:eastAsia="仿宋_GB2312" w:cs="仿宋_GB2312"/>
          <w:b/>
          <w:sz w:val="32"/>
          <w:szCs w:val="32"/>
        </w:rPr>
      </w:pPr>
      <w:bookmarkStart w:id="19" w:name="_Toc13045371"/>
      <w:bookmarkStart w:id="20" w:name="_Toc2812389"/>
      <w:r>
        <w:rPr>
          <w:rFonts w:hint="eastAsia" w:ascii="Times New Roman" w:hAnsi="Times New Roman" w:eastAsia="仿宋_GB2312" w:cs="仿宋_GB2312"/>
          <w:b/>
          <w:sz w:val="32"/>
          <w:szCs w:val="32"/>
        </w:rPr>
        <w:t>1</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项目实施时间</w:t>
      </w:r>
    </w:p>
    <w:p>
      <w:pPr>
        <w:ind w:firstLine="640" w:firstLineChars="200"/>
        <w:rPr>
          <w:rFonts w:hint="eastAsia" w:ascii="仿宋_GB2312" w:hAnsi="仿宋_GB2312" w:eastAsia="仿宋_GB2312" w:cs="仿宋_GB2312"/>
          <w:sz w:val="32"/>
          <w:szCs w:val="32"/>
        </w:rPr>
      </w:pPr>
      <w:r>
        <w:rPr>
          <w:rFonts w:hint="eastAsia" w:ascii="Times New Roman" w:hAnsi="Times New Roman" w:eastAsia="仿宋" w:cs="仿宋"/>
          <w:sz w:val="32"/>
          <w:szCs w:val="32"/>
        </w:rPr>
        <w:t>2019</w:t>
      </w:r>
      <w:r>
        <w:rPr>
          <w:rFonts w:hint="eastAsia" w:ascii="仿宋_GB2312" w:hAnsi="仿宋_GB2312" w:eastAsia="仿宋_GB2312" w:cs="仿宋_GB2312"/>
          <w:sz w:val="32"/>
          <w:szCs w:val="32"/>
        </w:rPr>
        <w:t>年平陆县圣人涧镇营村村一组至二组道路建设工程项目实施时间</w:t>
      </w:r>
      <w:r>
        <w:rPr>
          <w:rFonts w:hint="eastAsia" w:ascii="Times New Roman" w:hAnsi="Times New Roman" w:eastAsia="仿宋" w:cs="仿宋"/>
          <w:sz w:val="32"/>
          <w:szCs w:val="32"/>
        </w:rPr>
        <w:t>为2019</w:t>
      </w:r>
      <w:r>
        <w:rPr>
          <w:rFonts w:hint="eastAsia" w:ascii="仿宋_GB2312" w:hAnsi="仿宋_GB2312" w:eastAsia="仿宋_GB2312" w:cs="仿宋_GB2312"/>
          <w:sz w:val="32"/>
          <w:szCs w:val="32"/>
        </w:rPr>
        <w:t>年</w:t>
      </w:r>
      <w:r>
        <w:rPr>
          <w:rFonts w:hint="eastAsia" w:ascii="Times New Roman" w:hAnsi="Times New Roman" w:eastAsia="仿宋" w:cs="仿宋"/>
          <w:sz w:val="32"/>
          <w:szCs w:val="32"/>
        </w:rPr>
        <w:t>6</w:t>
      </w:r>
      <w:r>
        <w:rPr>
          <w:rFonts w:hint="eastAsia" w:ascii="仿宋_GB2312" w:hAnsi="仿宋_GB2312" w:eastAsia="仿宋_GB2312" w:cs="仿宋_GB2312"/>
          <w:sz w:val="32"/>
          <w:szCs w:val="32"/>
        </w:rPr>
        <w:t>月</w:t>
      </w:r>
      <w:r>
        <w:rPr>
          <w:rFonts w:hint="eastAsia" w:ascii="Times New Roman" w:hAnsi="Times New Roman" w:eastAsia="仿宋" w:cs="仿宋"/>
          <w:sz w:val="32"/>
          <w:szCs w:val="32"/>
        </w:rPr>
        <w:t>25</w:t>
      </w:r>
      <w:r>
        <w:rPr>
          <w:rFonts w:hint="eastAsia" w:ascii="仿宋_GB2312" w:hAnsi="仿宋_GB2312" w:eastAsia="仿宋_GB2312" w:cs="仿宋_GB2312"/>
          <w:sz w:val="32"/>
          <w:szCs w:val="32"/>
        </w:rPr>
        <w:t>日至</w:t>
      </w:r>
      <w:r>
        <w:rPr>
          <w:rFonts w:hint="eastAsia" w:ascii="Times New Roman" w:hAnsi="Times New Roman" w:eastAsia="仿宋" w:cs="仿宋"/>
          <w:sz w:val="32"/>
          <w:szCs w:val="32"/>
        </w:rPr>
        <w:t>2019</w:t>
      </w:r>
      <w:r>
        <w:rPr>
          <w:rFonts w:hint="eastAsia" w:ascii="仿宋_GB2312" w:hAnsi="仿宋_GB2312" w:eastAsia="仿宋_GB2312" w:cs="仿宋_GB2312"/>
          <w:sz w:val="32"/>
          <w:szCs w:val="32"/>
        </w:rPr>
        <w:t>年</w:t>
      </w:r>
      <w:r>
        <w:rPr>
          <w:rFonts w:hint="eastAsia" w:ascii="Times New Roman" w:hAnsi="Times New Roman" w:eastAsia="仿宋" w:cs="仿宋"/>
          <w:sz w:val="32"/>
          <w:szCs w:val="32"/>
        </w:rPr>
        <w:t>8</w:t>
      </w:r>
      <w:r>
        <w:rPr>
          <w:rFonts w:hint="eastAsia" w:ascii="仿宋_GB2312" w:hAnsi="仿宋_GB2312" w:eastAsia="仿宋_GB2312" w:cs="仿宋_GB2312"/>
          <w:sz w:val="32"/>
          <w:szCs w:val="32"/>
        </w:rPr>
        <w:t>月</w:t>
      </w:r>
      <w:r>
        <w:rPr>
          <w:rFonts w:hint="eastAsia" w:ascii="Times New Roman" w:hAnsi="Times New Roman" w:eastAsia="仿宋" w:cs="仿宋"/>
          <w:sz w:val="32"/>
          <w:szCs w:val="32"/>
        </w:rPr>
        <w:t>24</w:t>
      </w:r>
      <w:r>
        <w:rPr>
          <w:rFonts w:hint="eastAsia" w:ascii="仿宋_GB2312" w:hAnsi="仿宋_GB2312" w:eastAsia="仿宋_GB2312" w:cs="仿宋_GB2312"/>
          <w:sz w:val="32"/>
          <w:szCs w:val="32"/>
        </w:rPr>
        <w:t>日。</w:t>
      </w:r>
    </w:p>
    <w:p>
      <w:pPr>
        <w:ind w:firstLine="643" w:firstLineChars="200"/>
        <w:rPr>
          <w:rFonts w:ascii="仿宋_GB2312" w:hAnsi="仿宋_GB2312" w:eastAsia="仿宋_GB2312" w:cs="仿宋_GB2312"/>
          <w:b/>
          <w:sz w:val="32"/>
          <w:szCs w:val="32"/>
        </w:rPr>
      </w:pPr>
      <w:r>
        <w:rPr>
          <w:rFonts w:hint="eastAsia" w:ascii="Times New Roman" w:hAnsi="Times New Roman" w:eastAsia="仿宋_GB2312" w:cs="仿宋_GB2312"/>
          <w:b/>
          <w:sz w:val="32"/>
          <w:szCs w:val="32"/>
        </w:rPr>
        <w:t>2</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项目主管部门和实施单位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项目主管部门和实施单位均为平陆县圣人涧镇人民政府。</w:t>
      </w:r>
    </w:p>
    <w:p>
      <w:pPr>
        <w:ind w:firstLine="643" w:firstLineChars="200"/>
        <w:rPr>
          <w:rFonts w:hint="eastAsia" w:ascii="仿宋_GB2312" w:hAnsi="仿宋_GB2312" w:eastAsia="仿宋_GB2312" w:cs="仿宋_GB2312"/>
          <w:sz w:val="32"/>
          <w:szCs w:val="32"/>
        </w:rPr>
      </w:pPr>
      <w:r>
        <w:rPr>
          <w:rFonts w:hint="eastAsia" w:ascii="Times New Roman" w:hAnsi="Times New Roman" w:eastAsia="仿宋_GB2312" w:cs="仿宋_GB2312"/>
          <w:b/>
          <w:sz w:val="32"/>
          <w:szCs w:val="32"/>
        </w:rPr>
        <w:t>3</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项目实施内容</w:t>
      </w:r>
    </w:p>
    <w:p>
      <w:pPr>
        <w:ind w:firstLine="640" w:firstLineChars="200"/>
        <w:rPr>
          <w:rFonts w:hint="eastAsia" w:ascii="仿宋_GB2312" w:hAnsi="仿宋_GB2312" w:eastAsia="仿宋_GB2312" w:cs="仿宋_GB2312"/>
          <w:sz w:val="32"/>
          <w:szCs w:val="32"/>
        </w:rPr>
      </w:pPr>
      <w:r>
        <w:rPr>
          <w:rFonts w:hint="eastAsia" w:ascii="Times New Roman" w:hAnsi="Times New Roman" w:eastAsia="仿宋" w:cs="仿宋"/>
          <w:sz w:val="32"/>
          <w:szCs w:val="32"/>
        </w:rPr>
        <w:t>2019</w:t>
      </w:r>
      <w:r>
        <w:rPr>
          <w:rFonts w:hint="eastAsia" w:ascii="仿宋_GB2312" w:hAnsi="仿宋_GB2312" w:eastAsia="仿宋_GB2312" w:cs="仿宋_GB2312"/>
          <w:sz w:val="32"/>
          <w:szCs w:val="32"/>
        </w:rPr>
        <w:t>年平陆县圣人涧镇营村村一组至二组道路建设工程项目的实施内容为：道路建设工程全长3.94公里，新铺18公分厚的水泥混凝土面层13790平方米，培土路基3940平方米，路基平整17730平方米。</w:t>
      </w:r>
    </w:p>
    <w:p>
      <w:pPr>
        <w:ind w:firstLine="640" w:firstLineChars="200"/>
        <w:outlineLvl w:val="1"/>
        <w:rPr>
          <w:rFonts w:hint="eastAsia" w:ascii="仿宋_GB2312" w:hAnsi="仿宋_GB2312" w:eastAsia="仿宋_GB2312" w:cs="仿宋_GB2312"/>
          <w:sz w:val="32"/>
          <w:szCs w:val="32"/>
        </w:rPr>
      </w:pPr>
      <w:bookmarkStart w:id="21" w:name="_Toc32320"/>
      <w:r>
        <w:rPr>
          <w:rFonts w:hint="eastAsia" w:ascii="楷体" w:hAnsi="楷体" w:eastAsia="楷体" w:cs="Times New Roman"/>
          <w:bCs/>
          <w:sz w:val="32"/>
          <w:szCs w:val="32"/>
        </w:rPr>
        <w:t>（五）项目组织和管理</w:t>
      </w:r>
      <w:bookmarkEnd w:id="21"/>
    </w:p>
    <w:p>
      <w:pPr>
        <w:ind w:firstLine="643" w:firstLineChars="200"/>
        <w:rPr>
          <w:rFonts w:hint="eastAsia" w:ascii="仿宋_GB2312" w:hAnsi="仿宋_GB2312" w:eastAsia="仿宋_GB2312" w:cs="仿宋_GB2312"/>
          <w:sz w:val="32"/>
          <w:szCs w:val="32"/>
        </w:rPr>
      </w:pPr>
      <w:r>
        <w:rPr>
          <w:rFonts w:hint="eastAsia" w:ascii="Times New Roman" w:hAnsi="Times New Roman" w:eastAsia="仿宋_GB2312" w:cs="仿宋_GB2312"/>
          <w:b/>
          <w:sz w:val="32"/>
          <w:szCs w:val="32"/>
        </w:rPr>
        <w:t>1</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项目参与各方主要职责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）项目预算部门：平陆县财政局，</w:t>
      </w:r>
      <w:r>
        <w:rPr>
          <w:rFonts w:hint="eastAsia" w:ascii="仿宋_GB2312" w:hAnsi="仿宋_GB2312" w:eastAsia="仿宋_GB2312" w:cs="仿宋_GB2312"/>
          <w:bCs/>
          <w:sz w:val="32"/>
          <w:szCs w:val="32"/>
        </w:rPr>
        <w:t>负责项目资金预算审核、资金拨付、监督管理，对项目资金组织绩效评价等。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）项目实施单位：平陆县圣人涧镇人民政府，</w:t>
      </w:r>
      <w:r>
        <w:rPr>
          <w:rFonts w:hint="eastAsia" w:ascii="仿宋_GB2312" w:hAnsi="仿宋_GB2312" w:eastAsia="仿宋_GB2312" w:cs="仿宋_GB2312"/>
          <w:bCs/>
          <w:sz w:val="32"/>
          <w:szCs w:val="32"/>
        </w:rPr>
        <w:t>负责组织平陆县圣人涧镇营村一组至二组道路建设工程项目的建设，包括项目资金的申请、委托中鼎誉润工程咨询有限公司进行竞争性谈判、督促项目具体实施；项目完成后，组织验收。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）项目施工单位：平陆县建筑工程公司，负责按照施工合同实施工程内容。</w:t>
      </w:r>
    </w:p>
    <w:p>
      <w:pPr>
        <w:ind w:firstLine="643" w:firstLineChars="200"/>
        <w:rPr>
          <w:rFonts w:hint="eastAsia" w:ascii="仿宋_GB2312" w:hAnsi="仿宋_GB2312" w:eastAsia="仿宋_GB2312" w:cs="仿宋_GB2312"/>
          <w:sz w:val="32"/>
          <w:szCs w:val="32"/>
        </w:rPr>
      </w:pPr>
      <w:r>
        <w:rPr>
          <w:rFonts w:hint="eastAsia" w:ascii="Times New Roman" w:hAnsi="Times New Roman" w:eastAsia="仿宋_GB2312" w:cs="仿宋_GB2312"/>
          <w:b/>
          <w:sz w:val="32"/>
          <w:szCs w:val="32"/>
        </w:rPr>
        <w:t>2</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项目实施流程</w:t>
      </w:r>
    </w:p>
    <w:p>
      <w:pPr>
        <w:widowControl w:val="0"/>
        <w:snapToGrid w:val="0"/>
        <w:ind w:firstLine="640" w:firstLineChars="200"/>
        <w:rPr>
          <w:rFonts w:hint="eastAsia" w:ascii="仿宋_GB2312" w:hAnsi="仿宋" w:eastAsia="仿宋_GB2312" w:cs="Times New Roman"/>
          <w:bCs/>
          <w:sz w:val="32"/>
          <w:szCs w:val="32"/>
        </w:rPr>
      </w:pPr>
      <w:r>
        <w:rPr>
          <w:rFonts w:hint="eastAsia" w:ascii="仿宋_GB2312" w:hAnsi="仿宋_GB2312" w:eastAsia="仿宋_GB2312" w:cs="仿宋_GB2312"/>
          <w:sz w:val="32"/>
          <w:szCs w:val="32"/>
        </w:rPr>
        <w:t>包括</w:t>
      </w:r>
      <w:r>
        <w:rPr>
          <w:rFonts w:hint="eastAsia" w:ascii="仿宋_GB2312" w:hAnsi="仿宋" w:eastAsia="仿宋_GB2312" w:cs="Times New Roman"/>
          <w:bCs/>
          <w:sz w:val="32"/>
          <w:szCs w:val="32"/>
        </w:rPr>
        <w:t>项目申报、项目审批、财政评审、政府采购、项目实施、项目验收、资金拨付</w:t>
      </w:r>
      <w:r>
        <w:rPr>
          <w:rFonts w:hint="eastAsia" w:ascii="Times New Roman" w:hAnsi="Times New Roman" w:eastAsia="仿宋_GB2312" w:cs="Times New Roman"/>
          <w:sz w:val="32"/>
          <w:szCs w:val="32"/>
        </w:rPr>
        <w:t>7</w:t>
      </w:r>
      <w:r>
        <w:rPr>
          <w:rFonts w:hint="eastAsia" w:ascii="仿宋_GB2312" w:hAnsi="仿宋" w:eastAsia="仿宋_GB2312" w:cs="Times New Roman"/>
          <w:bCs/>
          <w:sz w:val="32"/>
          <w:szCs w:val="32"/>
        </w:rPr>
        <w:t>个主要环节，各环节主要工作内容如下：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1</w:t>
      </w:r>
      <w:r>
        <w:rPr>
          <w:rFonts w:hint="eastAsia" w:ascii="仿宋_GB2312" w:hAnsi="仿宋_GB2312" w:eastAsia="仿宋_GB2312" w:cs="仿宋_GB2312"/>
          <w:sz w:val="32"/>
          <w:szCs w:val="32"/>
        </w:rPr>
        <w:t>）项目申报：圣人涧镇营村村民委员会于</w:t>
      </w:r>
      <w:r>
        <w:rPr>
          <w:rFonts w:hint="eastAsia" w:ascii="Times New Roman" w:hAnsi="Times New Roman" w:eastAsia="仿宋_GB2312" w:cs="仿宋_GB2312"/>
          <w:sz w:val="32"/>
          <w:szCs w:val="32"/>
        </w:rPr>
        <w:t>2018</w:t>
      </w:r>
      <w:r>
        <w:rPr>
          <w:rFonts w:hint="eastAsia" w:ascii="仿宋_GB2312" w:hAnsi="仿宋_GB2312" w:eastAsia="仿宋_GB2312" w:cs="仿宋_GB2312"/>
          <w:sz w:val="32"/>
          <w:szCs w:val="32"/>
        </w:rPr>
        <w:t>年</w:t>
      </w:r>
      <w:r>
        <w:rPr>
          <w:rFonts w:hint="eastAsia" w:ascii="Times New Roman" w:hAnsi="Times New Roman" w:eastAsia="仿宋_GB2312" w:cs="仿宋_GB2312"/>
          <w:sz w:val="32"/>
          <w:szCs w:val="32"/>
        </w:rPr>
        <w:t>12</w:t>
      </w:r>
      <w:r>
        <w:rPr>
          <w:rFonts w:hint="eastAsia" w:ascii="仿宋_GB2312" w:hAnsi="仿宋_GB2312" w:eastAsia="仿宋_GB2312" w:cs="仿宋_GB2312"/>
          <w:sz w:val="32"/>
          <w:szCs w:val="32"/>
        </w:rPr>
        <w:t>月</w:t>
      </w:r>
      <w:r>
        <w:rPr>
          <w:rFonts w:hint="eastAsia" w:ascii="Times New Roman" w:hAnsi="Times New Roman" w:eastAsia="仿宋_GB2312" w:cs="仿宋_GB2312"/>
          <w:sz w:val="32"/>
          <w:szCs w:val="32"/>
        </w:rPr>
        <w:t>13</w:t>
      </w:r>
      <w:r>
        <w:rPr>
          <w:rFonts w:hint="eastAsia" w:ascii="仿宋_GB2312" w:hAnsi="仿宋_GB2312" w:eastAsia="仿宋_GB2312" w:cs="仿宋_GB2312"/>
          <w:sz w:val="32"/>
          <w:szCs w:val="32"/>
        </w:rPr>
        <w:t>日向圣人涧镇人民政府提出《关于一组至二组道路硬化工程的申请报告》，圣人涧镇人民政府核实后，于</w:t>
      </w:r>
      <w:r>
        <w:rPr>
          <w:rFonts w:hint="eastAsia" w:ascii="Times New Roman" w:hAnsi="Times New Roman" w:eastAsia="仿宋_GB2312" w:cs="仿宋_GB2312"/>
          <w:sz w:val="32"/>
          <w:szCs w:val="32"/>
        </w:rPr>
        <w:t>2018</w:t>
      </w:r>
      <w:r>
        <w:rPr>
          <w:rFonts w:hint="eastAsia" w:ascii="仿宋_GB2312" w:hAnsi="仿宋_GB2312" w:eastAsia="仿宋_GB2312" w:cs="仿宋_GB2312"/>
          <w:sz w:val="32"/>
          <w:szCs w:val="32"/>
        </w:rPr>
        <w:t>年</w:t>
      </w:r>
      <w:r>
        <w:rPr>
          <w:rFonts w:hint="eastAsia" w:ascii="Times New Roman" w:hAnsi="Times New Roman" w:eastAsia="仿宋_GB2312" w:cs="仿宋_GB2312"/>
          <w:sz w:val="32"/>
          <w:szCs w:val="32"/>
        </w:rPr>
        <w:t>12</w:t>
      </w:r>
      <w:r>
        <w:rPr>
          <w:rFonts w:hint="eastAsia" w:ascii="仿宋_GB2312" w:hAnsi="仿宋_GB2312" w:eastAsia="仿宋_GB2312" w:cs="仿宋_GB2312"/>
          <w:sz w:val="32"/>
          <w:szCs w:val="32"/>
        </w:rPr>
        <w:t>月</w:t>
      </w:r>
      <w:r>
        <w:rPr>
          <w:rFonts w:hint="eastAsia" w:ascii="Times New Roman" w:hAnsi="Times New Roman" w:eastAsia="仿宋_GB2312" w:cs="仿宋_GB2312"/>
          <w:sz w:val="32"/>
          <w:szCs w:val="32"/>
        </w:rPr>
        <w:t>25</w:t>
      </w:r>
      <w:r>
        <w:rPr>
          <w:rFonts w:hint="eastAsia" w:ascii="仿宋_GB2312" w:hAnsi="仿宋_GB2312" w:eastAsia="仿宋_GB2312" w:cs="仿宋_GB2312"/>
          <w:sz w:val="32"/>
          <w:szCs w:val="32"/>
        </w:rPr>
        <w:t>日向平陆县扶贫办提交《关于营村一组至二组道路硬化工程的申请报告》（圣政字</w:t>
      </w:r>
      <w:r>
        <w:rPr>
          <w:rFonts w:hint="eastAsia" w:ascii="Times New Roman" w:hAnsi="Times New Roman" w:eastAsia="仿宋_GB2312" w:cs="仿宋_GB2312"/>
          <w:sz w:val="32"/>
          <w:szCs w:val="32"/>
        </w:rPr>
        <w:t>〔2018〕137号）</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2</w:t>
      </w:r>
      <w:r>
        <w:rPr>
          <w:rFonts w:hint="eastAsia" w:ascii="仿宋_GB2312" w:hAnsi="仿宋_GB2312" w:eastAsia="仿宋_GB2312" w:cs="仿宋_GB2312"/>
          <w:sz w:val="32"/>
          <w:szCs w:val="32"/>
        </w:rPr>
        <w:t>）</w:t>
      </w:r>
      <w:r>
        <w:rPr>
          <w:rFonts w:hint="eastAsia" w:ascii="仿宋_GB2312" w:hAnsi="仿宋" w:eastAsia="仿宋_GB2312" w:cs="Times New Roman"/>
          <w:bCs/>
          <w:sz w:val="32"/>
          <w:szCs w:val="32"/>
        </w:rPr>
        <w:t>项目审批：平陆县脱贫攻坚领导小组办公室于</w:t>
      </w:r>
      <w:r>
        <w:rPr>
          <w:rFonts w:hint="eastAsia" w:ascii="Times New Roman" w:hAnsi="Times New Roman" w:eastAsia="仿宋_GB2312" w:cs="仿宋_GB2312"/>
          <w:sz w:val="32"/>
          <w:szCs w:val="32"/>
        </w:rPr>
        <w:t>2019</w:t>
      </w:r>
      <w:r>
        <w:rPr>
          <w:rFonts w:hint="eastAsia" w:ascii="仿宋_GB2312" w:hAnsi="仿宋" w:eastAsia="仿宋_GB2312" w:cs="Times New Roman"/>
          <w:bCs/>
          <w:sz w:val="32"/>
          <w:szCs w:val="32"/>
        </w:rPr>
        <w:t>年</w:t>
      </w:r>
      <w:r>
        <w:rPr>
          <w:rFonts w:hint="eastAsia" w:ascii="Times New Roman" w:hAnsi="Times New Roman" w:eastAsia="仿宋_GB2312" w:cs="仿宋_GB2312"/>
          <w:sz w:val="32"/>
          <w:szCs w:val="32"/>
        </w:rPr>
        <w:t>3</w:t>
      </w:r>
      <w:r>
        <w:rPr>
          <w:rFonts w:hint="eastAsia" w:ascii="仿宋_GB2312" w:hAnsi="仿宋" w:eastAsia="仿宋_GB2312" w:cs="Times New Roman"/>
          <w:bCs/>
          <w:sz w:val="32"/>
          <w:szCs w:val="32"/>
        </w:rPr>
        <w:t>月</w:t>
      </w:r>
      <w:r>
        <w:rPr>
          <w:rFonts w:hint="eastAsia" w:ascii="Times New Roman" w:hAnsi="Times New Roman" w:eastAsia="仿宋_GB2312" w:cs="仿宋_GB2312"/>
          <w:sz w:val="32"/>
          <w:szCs w:val="32"/>
        </w:rPr>
        <w:t>22</w:t>
      </w:r>
      <w:r>
        <w:rPr>
          <w:rFonts w:hint="eastAsia" w:ascii="仿宋_GB2312" w:hAnsi="仿宋" w:eastAsia="仿宋_GB2312" w:cs="Times New Roman"/>
          <w:bCs/>
          <w:sz w:val="32"/>
          <w:szCs w:val="32"/>
        </w:rPr>
        <w:t>日审批后</w:t>
      </w:r>
      <w:r>
        <w:rPr>
          <w:rFonts w:hint="eastAsia" w:ascii="仿宋_GB2312" w:hAnsi="仿宋_GB2312" w:eastAsia="仿宋_GB2312" w:cs="仿宋_GB2312"/>
          <w:sz w:val="32"/>
          <w:szCs w:val="32"/>
        </w:rPr>
        <w:t>，下发《关于下达</w:t>
      </w:r>
      <w:r>
        <w:rPr>
          <w:rFonts w:hint="eastAsia" w:ascii="Times New Roman" w:hAnsi="Times New Roman" w:eastAsia="仿宋_GB2312" w:cs="仿宋_GB2312"/>
          <w:sz w:val="32"/>
          <w:szCs w:val="32"/>
        </w:rPr>
        <w:t>2019</w:t>
      </w:r>
      <w:r>
        <w:rPr>
          <w:rFonts w:hint="eastAsia" w:ascii="仿宋_GB2312" w:hAnsi="仿宋_GB2312" w:eastAsia="仿宋_GB2312" w:cs="仿宋_GB2312"/>
          <w:sz w:val="32"/>
          <w:szCs w:val="32"/>
        </w:rPr>
        <w:t>年第一批涉农资金整合项目计划及相关立项审批事项的通知》</w:t>
      </w:r>
      <w:r>
        <w:rPr>
          <w:rFonts w:hint="eastAsia" w:ascii="Times New Roman" w:hAnsi="Times New Roman" w:eastAsia="仿宋_GB2312" w:cs="仿宋_GB2312"/>
          <w:sz w:val="32"/>
          <w:szCs w:val="32"/>
        </w:rPr>
        <w:t>（平脱贫攻坚组办〔2019〕7号）</w:t>
      </w:r>
      <w:r>
        <w:rPr>
          <w:rFonts w:hint="eastAsia" w:ascii="仿宋_GB2312" w:hAnsi="仿宋_GB2312" w:eastAsia="仿宋_GB2312" w:cs="仿宋_GB2312"/>
          <w:sz w:val="32"/>
          <w:szCs w:val="32"/>
        </w:rPr>
        <w:t>，其中：包括营村村一组至二组道路建设项目。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3</w:t>
      </w:r>
      <w:r>
        <w:rPr>
          <w:rFonts w:hint="eastAsia" w:ascii="仿宋_GB2312" w:hAnsi="仿宋_GB2312" w:eastAsia="仿宋_GB2312" w:cs="仿宋_GB2312"/>
          <w:sz w:val="32"/>
          <w:szCs w:val="32"/>
        </w:rPr>
        <w:t>）财政评审：圣人涧镇人民政府于</w:t>
      </w:r>
      <w:r>
        <w:rPr>
          <w:rFonts w:hint="eastAsia" w:ascii="Times New Roman" w:hAnsi="Times New Roman" w:eastAsia="仿宋_GB2312" w:cs="仿宋_GB2312"/>
          <w:sz w:val="32"/>
          <w:szCs w:val="32"/>
        </w:rPr>
        <w:t>2019</w:t>
      </w:r>
      <w:r>
        <w:rPr>
          <w:rFonts w:hint="eastAsia" w:ascii="仿宋_GB2312" w:hAnsi="仿宋_GB2312" w:eastAsia="仿宋_GB2312" w:cs="仿宋_GB2312"/>
          <w:sz w:val="32"/>
          <w:szCs w:val="32"/>
        </w:rPr>
        <w:t>年</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月</w:t>
      </w:r>
      <w:r>
        <w:rPr>
          <w:rFonts w:hint="eastAsia" w:ascii="Times New Roman" w:hAnsi="Times New Roman" w:eastAsia="仿宋_GB2312" w:cs="仿宋_GB2312"/>
          <w:sz w:val="32"/>
          <w:szCs w:val="32"/>
        </w:rPr>
        <w:t>9</w:t>
      </w:r>
      <w:r>
        <w:rPr>
          <w:rFonts w:hint="eastAsia" w:ascii="仿宋_GB2312" w:hAnsi="仿宋_GB2312" w:eastAsia="仿宋_GB2312" w:cs="仿宋_GB2312"/>
          <w:sz w:val="32"/>
          <w:szCs w:val="32"/>
        </w:rPr>
        <w:t>日向平陆县财政评审中心提交《关于营村一组至二组道路建设工程财政评审的申请》，平陆县财政投资评审中心于</w:t>
      </w:r>
      <w:r>
        <w:rPr>
          <w:rFonts w:hint="eastAsia" w:ascii="Times New Roman" w:hAnsi="Times New Roman" w:eastAsia="仿宋_GB2312" w:cs="仿宋_GB2312"/>
          <w:sz w:val="32"/>
          <w:szCs w:val="32"/>
        </w:rPr>
        <w:t>2019</w:t>
      </w:r>
      <w:r>
        <w:rPr>
          <w:rFonts w:hint="eastAsia" w:ascii="仿宋_GB2312" w:hAnsi="仿宋_GB2312" w:eastAsia="仿宋_GB2312" w:cs="仿宋_GB2312"/>
          <w:sz w:val="32"/>
          <w:szCs w:val="32"/>
        </w:rPr>
        <w:t>年</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月</w:t>
      </w:r>
      <w:r>
        <w:rPr>
          <w:rFonts w:hint="eastAsia" w:ascii="Times New Roman" w:hAnsi="Times New Roman" w:eastAsia="仿宋_GB2312" w:cs="仿宋_GB2312"/>
          <w:sz w:val="32"/>
          <w:szCs w:val="32"/>
        </w:rPr>
        <w:t>22</w:t>
      </w:r>
      <w:r>
        <w:rPr>
          <w:rFonts w:hint="eastAsia" w:ascii="仿宋_GB2312" w:hAnsi="仿宋_GB2312" w:eastAsia="仿宋_GB2312" w:cs="仿宋_GB2312"/>
          <w:sz w:val="32"/>
          <w:szCs w:val="32"/>
        </w:rPr>
        <w:t>日出具《平陆县圣人涧镇营村村一组至二组道路建设工程预算评审报告》。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4</w:t>
      </w:r>
      <w:r>
        <w:rPr>
          <w:rFonts w:hint="eastAsia" w:ascii="仿宋_GB2312" w:hAnsi="仿宋_GB2312" w:eastAsia="仿宋_GB2312" w:cs="仿宋_GB2312"/>
          <w:sz w:val="32"/>
          <w:szCs w:val="32"/>
        </w:rPr>
        <w:t>）政府采购：平陆县圣人涧镇人民政府于</w:t>
      </w:r>
      <w:r>
        <w:rPr>
          <w:rFonts w:hint="eastAsia" w:ascii="Times New Roman" w:hAnsi="Times New Roman" w:eastAsia="仿宋_GB2312" w:cs="仿宋_GB2312"/>
          <w:sz w:val="32"/>
          <w:szCs w:val="32"/>
        </w:rPr>
        <w:t>2019</w:t>
      </w:r>
      <w:r>
        <w:rPr>
          <w:rFonts w:hint="eastAsia" w:ascii="仿宋_GB2312" w:hAnsi="仿宋_GB2312" w:eastAsia="仿宋_GB2312" w:cs="仿宋_GB2312"/>
          <w:sz w:val="32"/>
          <w:szCs w:val="32"/>
        </w:rPr>
        <w:t>年</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月</w:t>
      </w:r>
      <w:r>
        <w:rPr>
          <w:rFonts w:hint="eastAsia" w:ascii="Times New Roman" w:hAnsi="Times New Roman" w:eastAsia="仿宋_GB2312" w:cs="仿宋_GB2312"/>
          <w:sz w:val="32"/>
          <w:szCs w:val="32"/>
        </w:rPr>
        <w:t>30</w:t>
      </w:r>
      <w:r>
        <w:rPr>
          <w:rFonts w:hint="eastAsia" w:ascii="仿宋_GB2312" w:hAnsi="仿宋_GB2312" w:eastAsia="仿宋_GB2312" w:cs="仿宋_GB2312"/>
          <w:sz w:val="32"/>
          <w:szCs w:val="32"/>
        </w:rPr>
        <w:t>日委托中鼎誉润工程咨询有限公司对平陆县圣人涧镇营村村一组至二组道路建设工程项目采用竞争性谈判方式进行采购。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5</w:t>
      </w:r>
      <w:r>
        <w:rPr>
          <w:rFonts w:hint="eastAsia" w:ascii="仿宋_GB2312" w:hAnsi="仿宋_GB2312" w:eastAsia="仿宋_GB2312" w:cs="仿宋_GB2312"/>
          <w:sz w:val="32"/>
          <w:szCs w:val="32"/>
        </w:rPr>
        <w:t>）项目实施：平陆县圣人涧镇人民政府与平陆县建筑工程公司、河南中建工程技术有限公司签订合同，各单位按照合同要求开展施工和监理工作。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6</w:t>
      </w:r>
      <w:r>
        <w:rPr>
          <w:rFonts w:hint="eastAsia" w:ascii="仿宋_GB2312" w:hAnsi="仿宋_GB2312" w:eastAsia="仿宋_GB2312" w:cs="仿宋_GB2312"/>
          <w:sz w:val="32"/>
          <w:szCs w:val="32"/>
        </w:rPr>
        <w:t>）项目验收：先由施工单位自检，监理单位抽检，然后于</w:t>
      </w:r>
      <w:r>
        <w:rPr>
          <w:rFonts w:hint="eastAsia" w:ascii="Times New Roman" w:hAnsi="Times New Roman" w:eastAsia="仿宋_GB2312" w:cs="仿宋_GB2312"/>
          <w:sz w:val="32"/>
          <w:szCs w:val="32"/>
        </w:rPr>
        <w:t>2019</w:t>
      </w:r>
      <w:r>
        <w:rPr>
          <w:rFonts w:hint="eastAsia" w:ascii="仿宋_GB2312" w:hAnsi="仿宋_GB2312" w:eastAsia="仿宋_GB2312" w:cs="仿宋_GB2312"/>
          <w:sz w:val="32"/>
          <w:szCs w:val="32"/>
        </w:rPr>
        <w:t>年</w:t>
      </w:r>
      <w:r>
        <w:rPr>
          <w:rFonts w:hint="eastAsia" w:ascii="Times New Roman" w:hAnsi="Times New Roman" w:eastAsia="仿宋_GB2312" w:cs="仿宋_GB2312"/>
          <w:sz w:val="32"/>
          <w:szCs w:val="32"/>
        </w:rPr>
        <w:t>12</w:t>
      </w:r>
      <w:r>
        <w:rPr>
          <w:rFonts w:hint="eastAsia" w:ascii="仿宋_GB2312" w:hAnsi="仿宋_GB2312" w:eastAsia="仿宋_GB2312" w:cs="仿宋_GB2312"/>
          <w:sz w:val="32"/>
          <w:szCs w:val="32"/>
        </w:rPr>
        <w:t>月</w:t>
      </w:r>
      <w:r>
        <w:rPr>
          <w:rFonts w:hint="eastAsia" w:ascii="Times New Roman" w:hAnsi="Times New Roman" w:eastAsia="仿宋_GB2312" w:cs="仿宋_GB2312"/>
          <w:sz w:val="32"/>
          <w:szCs w:val="32"/>
        </w:rPr>
        <w:t>22</w:t>
      </w:r>
      <w:r>
        <w:rPr>
          <w:rFonts w:hint="eastAsia" w:ascii="仿宋_GB2312" w:hAnsi="仿宋_GB2312" w:eastAsia="仿宋_GB2312" w:cs="仿宋_GB2312"/>
          <w:sz w:val="32"/>
          <w:szCs w:val="32"/>
        </w:rPr>
        <w:t>日，由平陆县圣人涧镇人民政府组织，同监理单位（河南中建工程技术有限公司）、设计单位（三门峡市海地公路勘察设计有限公司）和施工单位（平陆县建筑工程公司）共同验收，出具竣工验收报告。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7</w:t>
      </w:r>
      <w:r>
        <w:rPr>
          <w:rFonts w:hint="eastAsia" w:ascii="仿宋_GB2312" w:hAnsi="仿宋_GB2312" w:eastAsia="仿宋_GB2312" w:cs="仿宋_GB2312"/>
          <w:sz w:val="32"/>
          <w:szCs w:val="32"/>
        </w:rPr>
        <w:t>）资金拨付：由平陆县圣人涧镇人民政府进行资金申请，先将工程进度付款申请单、工程进度付款证书等相关资料报县财政局进行审核，审核通过后将资金支付审批单等提交平陆县圣人涧镇人民政府财务科，财务科审核后，通过国库集中支付将资金拨付给施工方。</w:t>
      </w:r>
    </w:p>
    <w:p>
      <w:pPr>
        <w:ind w:firstLine="640" w:firstLineChars="200"/>
        <w:outlineLvl w:val="1"/>
        <w:rPr>
          <w:rFonts w:hint="eastAsia" w:ascii="楷体" w:hAnsi="楷体" w:eastAsia="楷体" w:cs="Times New Roman"/>
          <w:bCs/>
          <w:sz w:val="32"/>
          <w:szCs w:val="32"/>
        </w:rPr>
      </w:pPr>
      <w:bookmarkStart w:id="22" w:name="_Toc7340"/>
      <w:r>
        <w:rPr>
          <w:rFonts w:hint="eastAsia" w:ascii="楷体" w:hAnsi="楷体" w:eastAsia="楷体" w:cs="Times New Roman"/>
          <w:bCs/>
          <w:sz w:val="32"/>
          <w:szCs w:val="32"/>
        </w:rPr>
        <w:t>（六）项目绩效目标</w:t>
      </w:r>
      <w:bookmarkEnd w:id="22"/>
    </w:p>
    <w:p>
      <w:pPr>
        <w:ind w:firstLine="643" w:firstLineChars="200"/>
        <w:rPr>
          <w:rFonts w:hint="eastAsia" w:ascii="仿宋_GB2312" w:hAnsi="仿宋_GB2312" w:eastAsia="仿宋_GB2312" w:cs="仿宋_GB2312"/>
          <w:sz w:val="32"/>
          <w:szCs w:val="32"/>
        </w:rPr>
      </w:pPr>
      <w:r>
        <w:rPr>
          <w:rFonts w:hint="eastAsia" w:ascii="Times New Roman" w:hAnsi="Times New Roman" w:eastAsia="仿宋_GB2312" w:cs="仿宋_GB2312"/>
          <w:b/>
          <w:sz w:val="32"/>
          <w:szCs w:val="32"/>
        </w:rPr>
        <w:t>1</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总体目标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通过项目实施，解决农产品收获后的运输问题，改善贫困村村民出行条件和生产生活条件，为全面建成小康社会提供有力的交通运输保障。</w:t>
      </w:r>
    </w:p>
    <w:p>
      <w:pPr>
        <w:ind w:firstLine="643" w:firstLineChars="200"/>
        <w:rPr>
          <w:rFonts w:ascii="仿宋_GB2312" w:hAnsi="仿宋_GB2312" w:eastAsia="仿宋_GB2312" w:cs="仿宋_GB2312"/>
          <w:b/>
          <w:sz w:val="32"/>
          <w:szCs w:val="32"/>
        </w:rPr>
      </w:pPr>
      <w:r>
        <w:rPr>
          <w:rFonts w:hint="eastAsia" w:ascii="Times New Roman" w:hAnsi="Times New Roman" w:eastAsia="仿宋_GB2312" w:cs="仿宋_GB2312"/>
          <w:b/>
          <w:sz w:val="32"/>
          <w:szCs w:val="32"/>
        </w:rPr>
        <w:t>2</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具体目标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产出类目标：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）完成道路建设工程：硬化道路</w:t>
      </w:r>
      <w:r>
        <w:rPr>
          <w:rFonts w:hint="eastAsia" w:ascii="Times New Roman" w:hAnsi="Times New Roman" w:eastAsia="仿宋_GB2312" w:cs="仿宋_GB2312"/>
          <w:sz w:val="32"/>
          <w:szCs w:val="32"/>
        </w:rPr>
        <w:t>4.5</w:t>
      </w:r>
      <w:r>
        <w:rPr>
          <w:rFonts w:hint="eastAsia" w:ascii="仿宋_GB2312" w:hAnsi="仿宋_GB2312" w:eastAsia="仿宋_GB2312" w:cs="仿宋_GB2312"/>
          <w:sz w:val="32"/>
          <w:szCs w:val="32"/>
        </w:rPr>
        <w:t>公里，宽</w:t>
      </w:r>
      <w:r>
        <w:rPr>
          <w:rFonts w:hint="eastAsia" w:ascii="Times New Roman" w:hAnsi="Times New Roman" w:eastAsia="仿宋_GB2312" w:cs="仿宋_GB2312"/>
          <w:sz w:val="32"/>
          <w:szCs w:val="32"/>
        </w:rPr>
        <w:t>3.5</w:t>
      </w:r>
      <w:r>
        <w:rPr>
          <w:rFonts w:hint="eastAsia" w:ascii="仿宋_GB2312" w:hAnsi="仿宋_GB2312" w:eastAsia="仿宋_GB2312" w:cs="仿宋_GB2312"/>
          <w:sz w:val="32"/>
          <w:szCs w:val="32"/>
        </w:rPr>
        <w:t>米，厚</w:t>
      </w:r>
      <w:r>
        <w:rPr>
          <w:rFonts w:hint="eastAsia" w:ascii="Times New Roman" w:hAnsi="Times New Roman" w:eastAsia="仿宋_GB2312" w:cs="仿宋_GB2312"/>
          <w:sz w:val="32"/>
          <w:szCs w:val="32"/>
        </w:rPr>
        <w:t>18</w:t>
      </w:r>
      <w:r>
        <w:rPr>
          <w:rFonts w:hint="eastAsia" w:ascii="仿宋_GB2312" w:hAnsi="仿宋_GB2312" w:eastAsia="仿宋_GB2312" w:cs="仿宋_GB2312"/>
          <w:sz w:val="32"/>
          <w:szCs w:val="32"/>
        </w:rPr>
        <w:t>公分；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）道路建设补助标准：每公里补助</w:t>
      </w:r>
      <w:r>
        <w:rPr>
          <w:rFonts w:hint="eastAsia" w:ascii="Times New Roman" w:hAnsi="Times New Roman" w:eastAsia="仿宋_GB2312" w:cs="仿宋_GB2312"/>
          <w:sz w:val="32"/>
          <w:szCs w:val="32"/>
        </w:rPr>
        <w:t>31.1</w:t>
      </w:r>
      <w:r>
        <w:rPr>
          <w:rFonts w:hint="eastAsia" w:ascii="仿宋_GB2312" w:hAnsi="仿宋_GB2312" w:eastAsia="仿宋_GB2312" w:cs="仿宋_GB2312"/>
          <w:sz w:val="32"/>
          <w:szCs w:val="32"/>
        </w:rPr>
        <w:t>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）项目验收合格率达到</w:t>
      </w:r>
      <w:r>
        <w:rPr>
          <w:rFonts w:hint="eastAsia" w:ascii="Times New Roman" w:hAnsi="Times New Roman" w:eastAsia="仿宋_GB2312" w:cs="仿宋_GB2312"/>
          <w:sz w:val="32"/>
          <w:szCs w:val="32"/>
        </w:rPr>
        <w:t>1</w:t>
      </w:r>
      <w:r>
        <w:rPr>
          <w:rFonts w:ascii="Times New Roman" w:hAnsi="Times New Roman" w:eastAsia="仿宋_GB2312" w:cs="仿宋_GB2312"/>
          <w:sz w:val="32"/>
          <w:szCs w:val="32"/>
        </w:rPr>
        <w:t>00</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rPr>
        <w:t>）项目于</w:t>
      </w:r>
      <w:r>
        <w:rPr>
          <w:rFonts w:hint="eastAsia" w:ascii="Times New Roman" w:hAnsi="Times New Roman" w:eastAsia="仿宋_GB2312" w:cs="仿宋_GB2312"/>
          <w:sz w:val="32"/>
          <w:szCs w:val="32"/>
        </w:rPr>
        <w:t>2019年8月24日</w:t>
      </w:r>
      <w:r>
        <w:rPr>
          <w:rFonts w:hint="eastAsia" w:ascii="仿宋_GB2312" w:hAnsi="仿宋_GB2312" w:eastAsia="仿宋_GB2312" w:cs="仿宋_GB2312"/>
          <w:sz w:val="32"/>
          <w:szCs w:val="32"/>
        </w:rPr>
        <w:t>完成建设</w:t>
      </w:r>
      <w:r>
        <w:rPr>
          <w:rFonts w:hint="eastAsia" w:ascii="Times New Roman" w:hAnsi="Times New Roman"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）项目成本节约率</w:t>
      </w:r>
      <w:r>
        <w:rPr>
          <w:rFonts w:hint="eastAsia" w:ascii="Times New Roman" w:hAnsi="Times New Roman" w:eastAsia="仿宋_GB2312" w:cs="仿宋_GB2312"/>
          <w:sz w:val="32"/>
          <w:szCs w:val="32"/>
        </w:rPr>
        <w:t>100</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效益类目标：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w:t>
      </w:r>
      <w:r>
        <w:rPr>
          <w:rFonts w:hint="eastAsia" w:ascii="仿宋" w:hAnsi="仿宋" w:eastAsia="仿宋_GB2312"/>
          <w:sz w:val="32"/>
          <w:szCs w:val="32"/>
        </w:rPr>
        <w:t>带动地方经济发展；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w:t>
      </w:r>
      <w:r>
        <w:rPr>
          <w:rFonts w:hint="eastAsia" w:ascii="仿宋" w:hAnsi="仿宋" w:eastAsia="仿宋_GB2312"/>
          <w:sz w:val="32"/>
          <w:szCs w:val="32"/>
        </w:rPr>
        <w:t>解决村民出行难题；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w:t>
      </w:r>
      <w:r>
        <w:rPr>
          <w:rFonts w:hint="eastAsia" w:ascii="仿宋" w:hAnsi="仿宋" w:eastAsia="仿宋_GB2312"/>
          <w:sz w:val="32"/>
          <w:szCs w:val="32"/>
        </w:rPr>
        <w:t>改善农民生产生活条件；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rPr>
        <w:t>）</w:t>
      </w:r>
      <w:r>
        <w:rPr>
          <w:rFonts w:hint="eastAsia" w:ascii="仿宋" w:hAnsi="仿宋" w:eastAsia="仿宋_GB2312"/>
          <w:sz w:val="32"/>
          <w:szCs w:val="32"/>
        </w:rPr>
        <w:t>工程使用年限达到</w:t>
      </w:r>
      <w:r>
        <w:rPr>
          <w:rFonts w:hint="eastAsia" w:ascii="Times New Roman" w:hAnsi="Times New Roman" w:eastAsia="仿宋" w:cs="仿宋"/>
          <w:sz w:val="32"/>
          <w:szCs w:val="32"/>
        </w:rPr>
        <w:t>25</w:t>
      </w:r>
      <w:r>
        <w:rPr>
          <w:rFonts w:hint="eastAsia" w:ascii="仿宋" w:hAnsi="仿宋" w:eastAsia="仿宋_GB2312"/>
          <w:sz w:val="32"/>
          <w:szCs w:val="32"/>
        </w:rPr>
        <w:t>年（含）以上；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）受益村民满意度达</w:t>
      </w:r>
      <w:r>
        <w:rPr>
          <w:rFonts w:hint="eastAsia" w:ascii="Times New Roman" w:hAnsi="Times New Roman" w:eastAsia="仿宋_GB2312" w:cs="仿宋_GB2312"/>
          <w:sz w:val="32"/>
          <w:szCs w:val="32"/>
        </w:rPr>
        <w:t>90</w:t>
      </w:r>
      <w:r>
        <w:rPr>
          <w:rFonts w:hint="eastAsia" w:ascii="仿宋_GB2312" w:hAnsi="仿宋_GB2312" w:eastAsia="仿宋_GB2312" w:cs="仿宋_GB2312"/>
          <w:sz w:val="32"/>
          <w:szCs w:val="32"/>
        </w:rPr>
        <w:t>%以上。</w:t>
      </w:r>
    </w:p>
    <w:p>
      <w:pPr>
        <w:pStyle w:val="3"/>
        <w:spacing w:line="360" w:lineRule="auto"/>
        <w:ind w:firstLine="640" w:firstLineChars="200"/>
      </w:pPr>
      <w:bookmarkStart w:id="23" w:name="_Toc9564"/>
      <w:r>
        <w:rPr>
          <w:rFonts w:hint="eastAsia"/>
        </w:rPr>
        <w:t>二、绩效评价工作开展情况</w:t>
      </w:r>
      <w:bookmarkEnd w:id="19"/>
      <w:bookmarkEnd w:id="20"/>
      <w:bookmarkEnd w:id="23"/>
    </w:p>
    <w:p>
      <w:pPr>
        <w:pStyle w:val="4"/>
        <w:spacing w:line="360" w:lineRule="auto"/>
      </w:pPr>
      <w:bookmarkStart w:id="24" w:name="_Toc2812390"/>
      <w:bookmarkStart w:id="25" w:name="_Toc8669"/>
      <w:bookmarkStart w:id="26" w:name="_Toc13045372"/>
      <w:bookmarkStart w:id="27" w:name="_Toc22817"/>
      <w:bookmarkStart w:id="28" w:name="_Toc16694"/>
      <w:bookmarkStart w:id="29" w:name="_Toc16161"/>
      <w:r>
        <w:rPr>
          <w:rFonts w:hint="eastAsia"/>
        </w:rPr>
        <w:t>（一）绩效评价目的</w:t>
      </w:r>
      <w:bookmarkEnd w:id="24"/>
      <w:bookmarkEnd w:id="25"/>
      <w:bookmarkEnd w:id="26"/>
      <w:bookmarkEnd w:id="27"/>
      <w:bookmarkEnd w:id="28"/>
      <w:r>
        <w:rPr>
          <w:rFonts w:hint="eastAsia"/>
        </w:rPr>
        <w:t>、对象和范围</w:t>
      </w:r>
      <w:bookmarkEnd w:id="29"/>
    </w:p>
    <w:p>
      <w:pPr>
        <w:ind w:firstLine="643" w:firstLineChars="200"/>
        <w:rPr>
          <w:rFonts w:ascii="仿宋_GB2312" w:hAnsi="仿宋" w:eastAsia="仿宋_GB2312" w:cs="仿宋"/>
          <w:b/>
          <w:sz w:val="32"/>
          <w:szCs w:val="32"/>
        </w:rPr>
      </w:pPr>
      <w:r>
        <w:rPr>
          <w:rFonts w:hint="eastAsia" w:ascii="Times New Roman" w:hAnsi="Times New Roman" w:eastAsia="仿宋_GB2312" w:cs="仿宋"/>
          <w:b/>
          <w:sz w:val="32"/>
          <w:szCs w:val="32"/>
        </w:rPr>
        <w:t>1</w:t>
      </w:r>
      <w:r>
        <w:rPr>
          <w:rFonts w:hint="eastAsia" w:ascii="仿宋_GB2312" w:hAnsi="仿宋" w:eastAsia="仿宋_GB2312" w:cs="仿宋"/>
          <w:b/>
          <w:sz w:val="32"/>
          <w:szCs w:val="32"/>
        </w:rPr>
        <w:t>.评价目的</w:t>
      </w:r>
    </w:p>
    <w:p>
      <w:pPr>
        <w:ind w:firstLine="640" w:firstLineChars="200"/>
        <w:rPr>
          <w:rFonts w:ascii="仿宋_GB2312" w:hAnsi="仿宋_GB2312" w:eastAsia="仿宋_GB2312" w:cs="仿宋_GB2312"/>
          <w:sz w:val="32"/>
          <w:szCs w:val="32"/>
        </w:rPr>
      </w:pPr>
      <w:bookmarkStart w:id="30" w:name="_Toc2812391"/>
      <w:bookmarkStart w:id="31" w:name="_Toc25550"/>
      <w:bookmarkStart w:id="32" w:name="_Toc18470"/>
      <w:bookmarkStart w:id="33" w:name="_Toc13045373"/>
      <w:bookmarkStart w:id="34" w:name="_Toc25094"/>
      <w:r>
        <w:rPr>
          <w:rFonts w:hint="eastAsia" w:ascii="仿宋_GB2312" w:hAnsi="仿宋" w:eastAsia="仿宋_GB2312" w:cs="Times New Roman"/>
          <w:sz w:val="32"/>
          <w:szCs w:val="32"/>
        </w:rPr>
        <w:t>通过评价，全面反映</w:t>
      </w:r>
      <w:r>
        <w:rPr>
          <w:rFonts w:hint="eastAsia" w:ascii="Times New Roman" w:hAnsi="Times New Roman" w:eastAsia="仿宋_GB2312" w:cs="仿宋_GB2312"/>
          <w:sz w:val="32"/>
          <w:szCs w:val="32"/>
        </w:rPr>
        <w:t>2019年平陆县圣人涧镇营村村一组至二组道路建设工程项目</w:t>
      </w:r>
      <w:r>
        <w:rPr>
          <w:rFonts w:hint="eastAsia" w:ascii="仿宋_GB2312" w:hAnsi="仿宋_GB2312" w:eastAsia="仿宋_GB2312" w:cs="仿宋_GB2312"/>
          <w:sz w:val="32"/>
          <w:szCs w:val="32"/>
        </w:rPr>
        <w:t>所涉及的资金产出和结果的经济性、效率性、效益性和公平性，及时发现问题，分析原因，提出建议，为财政部门加强财政支出管理，科学配置资源，提高财政资金使用效益，合理安排以后年度财政预算提供重要的参考依据。</w:t>
      </w:r>
    </w:p>
    <w:p>
      <w:pPr>
        <w:ind w:firstLine="643" w:firstLineChars="200"/>
        <w:rPr>
          <w:rFonts w:ascii="仿宋_GB2312" w:hAnsi="仿宋" w:eastAsia="仿宋_GB2312" w:cs="仿宋"/>
          <w:b/>
          <w:sz w:val="32"/>
          <w:szCs w:val="32"/>
        </w:rPr>
      </w:pPr>
      <w:r>
        <w:rPr>
          <w:rFonts w:hint="eastAsia" w:ascii="Times New Roman" w:hAnsi="Times New Roman" w:eastAsia="仿宋_GB2312" w:cs="仿宋"/>
          <w:b/>
          <w:sz w:val="32"/>
          <w:szCs w:val="32"/>
        </w:rPr>
        <w:t>2</w:t>
      </w:r>
      <w:r>
        <w:rPr>
          <w:rFonts w:hint="eastAsia" w:ascii="仿宋_GB2312" w:hAnsi="仿宋" w:eastAsia="仿宋_GB2312" w:cs="仿宋"/>
          <w:b/>
          <w:sz w:val="32"/>
          <w:szCs w:val="32"/>
        </w:rPr>
        <w:t>.评价对象</w:t>
      </w:r>
    </w:p>
    <w:p>
      <w:pPr>
        <w:widowControl w:val="0"/>
        <w:snapToGrid w:val="0"/>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本次绩效评价对象为</w:t>
      </w:r>
      <w:r>
        <w:rPr>
          <w:rFonts w:ascii="Times New Roman" w:hAnsi="Times New Roman" w:eastAsia="仿宋_GB2312" w:cs="Times New Roman"/>
          <w:sz w:val="32"/>
          <w:szCs w:val="32"/>
        </w:rPr>
        <w:t>2019年平陆县圣人涧镇营村村一组至二组道路建设工程项目</w:t>
      </w:r>
      <w:r>
        <w:rPr>
          <w:rFonts w:ascii="仿宋_GB2312" w:hAnsi="仿宋" w:eastAsia="仿宋_GB2312" w:cs="Times New Roman"/>
          <w:sz w:val="32"/>
          <w:szCs w:val="32"/>
        </w:rPr>
        <w:t>资金</w:t>
      </w:r>
      <w:r>
        <w:rPr>
          <w:rFonts w:hint="eastAsia" w:ascii="Times New Roman" w:hAnsi="Times New Roman" w:eastAsia="仿宋_GB2312" w:cs="仿宋_GB2312"/>
          <w:sz w:val="32"/>
          <w:szCs w:val="32"/>
        </w:rPr>
        <w:t>132.12</w:t>
      </w:r>
      <w:r>
        <w:rPr>
          <w:rFonts w:ascii="仿宋_GB2312" w:hAnsi="仿宋" w:eastAsia="仿宋_GB2312" w:cs="Times New Roman"/>
          <w:sz w:val="32"/>
          <w:szCs w:val="32"/>
        </w:rPr>
        <w:t>万元。</w:t>
      </w:r>
      <w:r>
        <w:rPr>
          <w:rFonts w:hint="eastAsia" w:ascii="仿宋_GB2312" w:hAnsi="仿宋" w:eastAsia="仿宋_GB2312" w:cs="Times New Roman"/>
          <w:sz w:val="32"/>
          <w:szCs w:val="32"/>
        </w:rPr>
        <w:t>评价时段为</w:t>
      </w:r>
      <w:r>
        <w:rPr>
          <w:rFonts w:hint="eastAsia" w:ascii="Times New Roman" w:hAnsi="Times New Roman" w:eastAsia="仿宋_GB2312" w:cs="仿宋_GB2312"/>
          <w:sz w:val="32"/>
          <w:szCs w:val="32"/>
        </w:rPr>
        <w:t>2019</w:t>
      </w:r>
      <w:r>
        <w:rPr>
          <w:rFonts w:hint="eastAsia" w:ascii="仿宋_GB2312" w:hAnsi="仿宋" w:eastAsia="仿宋_GB2312" w:cs="Times New Roman"/>
          <w:sz w:val="32"/>
          <w:szCs w:val="32"/>
        </w:rPr>
        <w:t>年</w:t>
      </w:r>
      <w:r>
        <w:rPr>
          <w:rFonts w:hint="eastAsia" w:ascii="Times New Roman" w:hAnsi="Times New Roman" w:eastAsia="仿宋_GB2312" w:cs="仿宋_GB2312"/>
          <w:sz w:val="32"/>
          <w:szCs w:val="32"/>
        </w:rPr>
        <w:t>1</w:t>
      </w:r>
      <w:r>
        <w:rPr>
          <w:rFonts w:hint="eastAsia" w:ascii="仿宋_GB2312" w:hAnsi="仿宋" w:eastAsia="仿宋_GB2312" w:cs="Times New Roman"/>
          <w:sz w:val="32"/>
          <w:szCs w:val="32"/>
        </w:rPr>
        <w:t>月</w:t>
      </w:r>
      <w:r>
        <w:rPr>
          <w:rFonts w:hint="eastAsia" w:ascii="Times New Roman" w:hAnsi="Times New Roman" w:eastAsia="仿宋_GB2312" w:cs="仿宋_GB2312"/>
          <w:sz w:val="32"/>
          <w:szCs w:val="32"/>
        </w:rPr>
        <w:t>1</w:t>
      </w:r>
      <w:r>
        <w:rPr>
          <w:rFonts w:hint="eastAsia" w:ascii="仿宋_GB2312" w:hAnsi="仿宋" w:eastAsia="仿宋_GB2312" w:cs="Times New Roman"/>
          <w:sz w:val="32"/>
          <w:szCs w:val="32"/>
        </w:rPr>
        <w:t>日至</w:t>
      </w:r>
      <w:r>
        <w:rPr>
          <w:rFonts w:hint="eastAsia" w:ascii="Times New Roman" w:hAnsi="Times New Roman" w:eastAsia="仿宋_GB2312" w:cs="仿宋_GB2312"/>
          <w:sz w:val="32"/>
          <w:szCs w:val="32"/>
        </w:rPr>
        <w:t>2019</w:t>
      </w:r>
      <w:r>
        <w:rPr>
          <w:rFonts w:hint="eastAsia" w:ascii="仿宋_GB2312" w:hAnsi="仿宋" w:eastAsia="仿宋_GB2312" w:cs="Times New Roman"/>
          <w:sz w:val="32"/>
          <w:szCs w:val="32"/>
        </w:rPr>
        <w:t>年</w:t>
      </w:r>
      <w:r>
        <w:rPr>
          <w:rFonts w:hint="eastAsia" w:ascii="Times New Roman" w:hAnsi="Times New Roman" w:eastAsia="仿宋_GB2312" w:cs="仿宋_GB2312"/>
          <w:sz w:val="32"/>
          <w:szCs w:val="32"/>
        </w:rPr>
        <w:t>12</w:t>
      </w:r>
      <w:r>
        <w:rPr>
          <w:rFonts w:hint="eastAsia" w:ascii="仿宋_GB2312" w:hAnsi="仿宋" w:eastAsia="仿宋_GB2312" w:cs="Times New Roman"/>
          <w:sz w:val="32"/>
          <w:szCs w:val="32"/>
        </w:rPr>
        <w:t>月</w:t>
      </w:r>
      <w:r>
        <w:rPr>
          <w:rFonts w:hint="eastAsia" w:ascii="Times New Roman" w:hAnsi="Times New Roman" w:eastAsia="仿宋_GB2312" w:cs="仿宋_GB2312"/>
          <w:sz w:val="32"/>
          <w:szCs w:val="32"/>
        </w:rPr>
        <w:t>31</w:t>
      </w:r>
      <w:r>
        <w:rPr>
          <w:rFonts w:hint="eastAsia" w:ascii="仿宋_GB2312" w:hAnsi="仿宋" w:eastAsia="仿宋_GB2312" w:cs="Times New Roman"/>
          <w:sz w:val="32"/>
          <w:szCs w:val="32"/>
        </w:rPr>
        <w:t>日。</w:t>
      </w:r>
    </w:p>
    <w:p>
      <w:pPr>
        <w:ind w:firstLine="643" w:firstLineChars="200"/>
        <w:rPr>
          <w:rFonts w:ascii="仿宋_GB2312" w:hAnsi="仿宋" w:eastAsia="仿宋_GB2312" w:cs="仿宋"/>
          <w:b/>
          <w:sz w:val="32"/>
          <w:szCs w:val="32"/>
        </w:rPr>
      </w:pPr>
      <w:r>
        <w:rPr>
          <w:rFonts w:hint="eastAsia" w:ascii="Times New Roman" w:hAnsi="Times New Roman" w:eastAsia="仿宋_GB2312" w:cs="仿宋"/>
          <w:b/>
          <w:sz w:val="32"/>
          <w:szCs w:val="32"/>
        </w:rPr>
        <w:t>3</w:t>
      </w:r>
      <w:r>
        <w:rPr>
          <w:rFonts w:hint="eastAsia" w:ascii="仿宋_GB2312" w:hAnsi="仿宋" w:eastAsia="仿宋_GB2312" w:cs="仿宋"/>
          <w:b/>
          <w:sz w:val="32"/>
          <w:szCs w:val="32"/>
        </w:rPr>
        <w:t>.评价范围</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本次绩效评价的范围为2019</w:t>
      </w:r>
      <w:r>
        <w:rPr>
          <w:rFonts w:hint="eastAsia" w:ascii="仿宋_GB2312" w:hAnsi="仿宋_GB2312" w:eastAsia="仿宋_GB2312" w:cs="仿宋_GB2312"/>
          <w:sz w:val="32"/>
          <w:szCs w:val="32"/>
        </w:rPr>
        <w:t>年平陆县圣人涧镇</w:t>
      </w:r>
      <w:r>
        <w:rPr>
          <w:rFonts w:ascii="Times New Roman" w:hAnsi="Times New Roman" w:eastAsia="仿宋_GB2312" w:cs="Times New Roman"/>
          <w:sz w:val="32"/>
          <w:szCs w:val="32"/>
        </w:rPr>
        <w:t>营村村一组至二组道路建设工程项目</w:t>
      </w:r>
      <w:r>
        <w:rPr>
          <w:rFonts w:hint="eastAsia" w:ascii="Times New Roman" w:hAnsi="Times New Roman" w:eastAsia="仿宋_GB2312" w:cs="Times New Roman"/>
          <w:sz w:val="32"/>
          <w:szCs w:val="32"/>
        </w:rPr>
        <w:t>支出</w:t>
      </w:r>
      <w:r>
        <w:rPr>
          <w:rFonts w:ascii="仿宋_GB2312" w:hAnsi="仿宋_GB2312" w:eastAsia="仿宋_GB2312" w:cs="仿宋_GB2312"/>
          <w:sz w:val="32"/>
          <w:szCs w:val="32"/>
        </w:rPr>
        <w:t>产生的绩效以及为产生绩效所经历的各环节过程，具体绩效评价范围包括项目决策、过程、产出和效益。</w:t>
      </w:r>
    </w:p>
    <w:p>
      <w:pPr>
        <w:pStyle w:val="4"/>
        <w:spacing w:line="360" w:lineRule="auto"/>
      </w:pPr>
      <w:bookmarkStart w:id="35" w:name="_Toc30536"/>
      <w:r>
        <w:rPr>
          <w:rFonts w:hint="eastAsia"/>
        </w:rPr>
        <w:t>（二）绩效评价原则和方法</w:t>
      </w:r>
      <w:bookmarkEnd w:id="30"/>
      <w:bookmarkEnd w:id="31"/>
      <w:bookmarkEnd w:id="32"/>
      <w:bookmarkEnd w:id="33"/>
      <w:bookmarkEnd w:id="34"/>
      <w:bookmarkEnd w:id="35"/>
    </w:p>
    <w:p>
      <w:pPr>
        <w:ind w:firstLine="643" w:firstLineChars="200"/>
        <w:rPr>
          <w:rFonts w:ascii="仿宋_GB2312" w:hAnsi="仿宋" w:eastAsia="仿宋_GB2312" w:cs="仿宋"/>
          <w:b/>
          <w:sz w:val="32"/>
          <w:szCs w:val="32"/>
        </w:rPr>
      </w:pPr>
      <w:r>
        <w:rPr>
          <w:rFonts w:hint="eastAsia" w:ascii="Times New Roman" w:hAnsi="Times New Roman" w:eastAsia="仿宋_GB2312" w:cs="仿宋"/>
          <w:b/>
          <w:sz w:val="32"/>
          <w:szCs w:val="32"/>
        </w:rPr>
        <w:t>1</w:t>
      </w:r>
      <w:r>
        <w:rPr>
          <w:rFonts w:hint="eastAsia" w:ascii="仿宋_GB2312" w:hAnsi="仿宋" w:eastAsia="仿宋_GB2312" w:cs="仿宋"/>
          <w:b/>
          <w:sz w:val="32"/>
          <w:szCs w:val="32"/>
        </w:rPr>
        <w:t>.评价原则</w:t>
      </w:r>
    </w:p>
    <w:p>
      <w:pPr>
        <w:overflowPunct w:val="0"/>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按照</w:t>
      </w:r>
      <w:r>
        <w:rPr>
          <w:rFonts w:hint="eastAsia" w:ascii="仿宋_GB2312" w:hAnsi="仿宋" w:eastAsia="仿宋_GB2312" w:cs="Times New Roman"/>
          <w:sz w:val="32"/>
          <w:szCs w:val="32"/>
        </w:rPr>
        <w:t>《财政部关于印发&lt;项目支出绩效评价管理办法&gt;的通知》（财预〔</w:t>
      </w:r>
      <w:r>
        <w:rPr>
          <w:rFonts w:hint="eastAsia" w:ascii="Times New Roman" w:hAnsi="Times New Roman" w:eastAsia="仿宋_GB2312" w:cs="Times New Roman"/>
          <w:sz w:val="32"/>
          <w:szCs w:val="32"/>
        </w:rPr>
        <w:t>2020</w:t>
      </w:r>
      <w:r>
        <w:rPr>
          <w:rFonts w:hint="eastAsia" w:ascii="仿宋_GB2312" w:hAnsi="仿宋" w:eastAsia="仿宋_GB2312" w:cs="Times New Roman"/>
          <w:sz w:val="32"/>
          <w:szCs w:val="32"/>
        </w:rPr>
        <w:t>〕</w:t>
      </w:r>
      <w:r>
        <w:rPr>
          <w:rFonts w:hint="eastAsia" w:ascii="Times New Roman" w:hAnsi="Times New Roman" w:eastAsia="仿宋_GB2312" w:cs="Times New Roman"/>
          <w:sz w:val="32"/>
          <w:szCs w:val="32"/>
        </w:rPr>
        <w:t>10</w:t>
      </w:r>
      <w:r>
        <w:rPr>
          <w:rFonts w:hint="eastAsia" w:ascii="仿宋_GB2312" w:hAnsi="仿宋" w:eastAsia="仿宋_GB2312" w:cs="Times New Roman"/>
          <w:sz w:val="32"/>
          <w:szCs w:val="32"/>
        </w:rPr>
        <w:t>号）的要求，</w:t>
      </w:r>
      <w:r>
        <w:rPr>
          <w:rFonts w:ascii="仿宋_GB2312" w:hAnsi="仿宋_GB2312" w:eastAsia="仿宋_GB2312" w:cs="仿宋_GB2312"/>
          <w:sz w:val="32"/>
          <w:szCs w:val="32"/>
        </w:rPr>
        <w:t>本次绩效评价秉承科学</w:t>
      </w:r>
      <w:r>
        <w:rPr>
          <w:rFonts w:hint="eastAsia" w:ascii="仿宋_GB2312" w:hAnsi="仿宋_GB2312" w:eastAsia="仿宋_GB2312" w:cs="仿宋_GB2312"/>
          <w:sz w:val="32"/>
          <w:szCs w:val="32"/>
        </w:rPr>
        <w:t>公正</w:t>
      </w:r>
      <w:r>
        <w:rPr>
          <w:rFonts w:ascii="仿宋_GB2312" w:hAnsi="仿宋_GB2312" w:eastAsia="仿宋_GB2312" w:cs="仿宋_GB2312"/>
          <w:sz w:val="32"/>
          <w:szCs w:val="32"/>
        </w:rPr>
        <w:t>、</w:t>
      </w:r>
      <w:r>
        <w:rPr>
          <w:rFonts w:hint="eastAsia" w:ascii="仿宋_GB2312" w:hAnsi="仿宋_GB2312" w:eastAsia="仿宋_GB2312" w:cs="仿宋_GB2312"/>
          <w:bCs/>
          <w:sz w:val="32"/>
          <w:szCs w:val="32"/>
        </w:rPr>
        <w:t>统筹兼顾</w:t>
      </w:r>
      <w:r>
        <w:rPr>
          <w:rFonts w:ascii="仿宋_GB2312" w:hAnsi="仿宋_GB2312" w:eastAsia="仿宋_GB2312" w:cs="仿宋_GB2312"/>
          <w:sz w:val="32"/>
          <w:szCs w:val="32"/>
        </w:rPr>
        <w:t>、</w:t>
      </w:r>
      <w:r>
        <w:rPr>
          <w:rFonts w:hint="eastAsia" w:ascii="仿宋_GB2312" w:hAnsi="仿宋_GB2312" w:eastAsia="仿宋_GB2312" w:cs="仿宋_GB2312"/>
          <w:bCs/>
          <w:sz w:val="32"/>
          <w:szCs w:val="32"/>
        </w:rPr>
        <w:t>激励约束和</w:t>
      </w:r>
      <w:r>
        <w:rPr>
          <w:rFonts w:hint="eastAsia" w:ascii="仿宋_GB2312" w:hAnsi="仿宋_GB2312" w:eastAsia="仿宋_GB2312" w:cs="仿宋_GB2312"/>
          <w:sz w:val="32"/>
          <w:szCs w:val="32"/>
        </w:rPr>
        <w:t>公开透明</w:t>
      </w:r>
      <w:r>
        <w:rPr>
          <w:rFonts w:ascii="仿宋_GB2312" w:hAnsi="仿宋_GB2312" w:eastAsia="仿宋_GB2312" w:cs="仿宋_GB2312"/>
          <w:sz w:val="32"/>
          <w:szCs w:val="32"/>
        </w:rPr>
        <w:t>的原则，按照从决策、过程到产出、效益的绩效逻辑路径，科学设置评价指标体系，真实、客观、公正地评价财政支出的经济性、效率性、效益性和公平性。绩效评价应当遵循以下基本原则：</w:t>
      </w:r>
    </w:p>
    <w:p>
      <w:pPr>
        <w:ind w:firstLine="640" w:firstLineChars="200"/>
        <w:rPr>
          <w:rFonts w:ascii="仿宋_GB2312" w:hAnsi="仿宋_GB2312" w:eastAsia="仿宋_GB2312" w:cs="仿宋_GB2312"/>
          <w:sz w:val="32"/>
          <w:szCs w:val="32"/>
        </w:rPr>
      </w:pPr>
      <w:r>
        <w:rPr>
          <w:rFonts w:hint="eastAsia" w:ascii="Times New Roman" w:hAnsi="Times New Roman" w:eastAsia="仿宋_GB2312" w:cs="仿宋_GB2312"/>
          <w:bCs/>
          <w:sz w:val="32"/>
          <w:szCs w:val="32"/>
        </w:rPr>
        <w:t>（1）</w:t>
      </w:r>
      <w:r>
        <w:rPr>
          <w:rFonts w:hint="eastAsia" w:ascii="仿宋_GB2312" w:hAnsi="仿宋_GB2312" w:eastAsia="仿宋_GB2312" w:cs="仿宋_GB2312"/>
          <w:bCs/>
          <w:sz w:val="32"/>
          <w:szCs w:val="32"/>
        </w:rPr>
        <w:t>科学公正。</w:t>
      </w:r>
      <w:r>
        <w:rPr>
          <w:rFonts w:hint="eastAsia" w:ascii="仿宋_GB2312" w:hAnsi="仿宋_GB2312" w:eastAsia="仿宋_GB2312" w:cs="仿宋_GB2312"/>
          <w:sz w:val="32"/>
          <w:szCs w:val="32"/>
        </w:rPr>
        <w:t>绩效评价应当运用科学合理的方法，按照规范的程序，对项目绩效进行客观、公正的反映。</w:t>
      </w:r>
    </w:p>
    <w:p>
      <w:pPr>
        <w:ind w:firstLine="640" w:firstLineChars="200"/>
        <w:rPr>
          <w:rFonts w:ascii="仿宋_GB2312" w:hAnsi="仿宋_GB2312" w:eastAsia="仿宋_GB2312" w:cs="仿宋_GB2312"/>
          <w:sz w:val="32"/>
          <w:szCs w:val="32"/>
        </w:rPr>
      </w:pPr>
      <w:r>
        <w:rPr>
          <w:rFonts w:hint="eastAsia" w:ascii="Times New Roman" w:hAnsi="Times New Roman" w:eastAsia="仿宋_GB2312" w:cs="仿宋_GB2312"/>
          <w:bCs/>
          <w:sz w:val="32"/>
          <w:szCs w:val="32"/>
        </w:rPr>
        <w:t>（2）</w:t>
      </w:r>
      <w:r>
        <w:rPr>
          <w:rFonts w:hint="eastAsia" w:ascii="仿宋_GB2312" w:hAnsi="仿宋_GB2312" w:eastAsia="仿宋_GB2312" w:cs="仿宋_GB2312"/>
          <w:bCs/>
          <w:sz w:val="32"/>
          <w:szCs w:val="32"/>
        </w:rPr>
        <w:t>统筹兼顾。</w:t>
      </w:r>
      <w:r>
        <w:rPr>
          <w:rFonts w:hint="eastAsia" w:ascii="仿宋_GB2312" w:hAnsi="仿宋" w:eastAsia="仿宋_GB2312" w:cs="Times New Roman"/>
          <w:bCs/>
          <w:sz w:val="32"/>
          <w:szCs w:val="32"/>
        </w:rPr>
        <w:t>绩效评价过程中兼顾</w:t>
      </w:r>
      <w:r>
        <w:rPr>
          <w:rFonts w:hint="eastAsia" w:ascii="仿宋_GB2312" w:hAnsi="仿宋" w:eastAsia="仿宋_GB2312" w:cs="Times New Roman"/>
          <w:sz w:val="32"/>
          <w:szCs w:val="32"/>
        </w:rPr>
        <w:t>单位自评、部门评价和财政评价各方职责，要各有侧重，相互衔接。</w:t>
      </w:r>
    </w:p>
    <w:p>
      <w:pPr>
        <w:ind w:firstLine="640" w:firstLineChars="200"/>
        <w:rPr>
          <w:rFonts w:ascii="仿宋_GB2312" w:hAnsi="仿宋_GB2312" w:eastAsia="仿宋_GB2312" w:cs="仿宋_GB2312"/>
          <w:sz w:val="32"/>
          <w:szCs w:val="32"/>
        </w:rPr>
      </w:pPr>
      <w:r>
        <w:rPr>
          <w:rFonts w:hint="eastAsia" w:ascii="Times New Roman" w:hAnsi="Times New Roman" w:eastAsia="仿宋_GB2312" w:cs="仿宋_GB2312"/>
          <w:bCs/>
          <w:sz w:val="32"/>
          <w:szCs w:val="32"/>
        </w:rPr>
        <w:t>（3）</w:t>
      </w:r>
      <w:r>
        <w:rPr>
          <w:rFonts w:hint="eastAsia" w:ascii="仿宋_GB2312" w:hAnsi="仿宋_GB2312" w:eastAsia="仿宋_GB2312" w:cs="仿宋_GB2312"/>
          <w:bCs/>
          <w:sz w:val="32"/>
          <w:szCs w:val="32"/>
        </w:rPr>
        <w:t>激励约束。</w:t>
      </w:r>
      <w:r>
        <w:rPr>
          <w:rFonts w:hint="eastAsia" w:ascii="仿宋_GB2312" w:hAnsi="仿宋_GB2312" w:eastAsia="仿宋_GB2312" w:cs="仿宋_GB2312"/>
          <w:sz w:val="32"/>
          <w:szCs w:val="32"/>
        </w:rPr>
        <w:t>绩效评价结果应与预算安排、政策调整、改进管理实质性挂钩，体现奖优罚劣和激励相容导向，有效要安排、低效要压减、无效要问责。</w:t>
      </w:r>
    </w:p>
    <w:p>
      <w:pPr>
        <w:ind w:firstLine="640" w:firstLineChars="200"/>
        <w:rPr>
          <w:rFonts w:ascii="仿宋_GB2312" w:hAnsi="仿宋" w:eastAsia="仿宋_GB2312" w:cs="Times New Roman"/>
          <w:sz w:val="32"/>
          <w:szCs w:val="32"/>
        </w:rPr>
      </w:pPr>
      <w:r>
        <w:rPr>
          <w:rFonts w:hint="eastAsia" w:ascii="Times New Roman" w:hAnsi="Times New Roman" w:eastAsia="仿宋_GB2312" w:cs="仿宋_GB2312"/>
          <w:bCs/>
          <w:sz w:val="32"/>
          <w:szCs w:val="32"/>
        </w:rPr>
        <w:t>（4）</w:t>
      </w:r>
      <w:r>
        <w:rPr>
          <w:rFonts w:hint="eastAsia" w:ascii="仿宋_GB2312" w:hAnsi="仿宋_GB2312" w:eastAsia="仿宋_GB2312" w:cs="仿宋_GB2312"/>
          <w:bCs/>
          <w:sz w:val="32"/>
          <w:szCs w:val="32"/>
        </w:rPr>
        <w:t>公开透明。</w:t>
      </w:r>
      <w:r>
        <w:rPr>
          <w:rFonts w:hint="eastAsia" w:ascii="仿宋_GB2312" w:hAnsi="仿宋_GB2312" w:eastAsia="仿宋_GB2312" w:cs="仿宋_GB2312"/>
          <w:sz w:val="32"/>
          <w:szCs w:val="32"/>
        </w:rPr>
        <w:t>绩效评价结果应依法依规公开，并自觉接受社会监督。</w:t>
      </w:r>
    </w:p>
    <w:p>
      <w:pPr>
        <w:ind w:firstLine="643" w:firstLineChars="200"/>
        <w:rPr>
          <w:rFonts w:ascii="仿宋_GB2312" w:hAnsi="仿宋" w:eastAsia="仿宋_GB2312" w:cs="仿宋"/>
          <w:b/>
          <w:sz w:val="32"/>
          <w:szCs w:val="32"/>
        </w:rPr>
      </w:pPr>
      <w:r>
        <w:rPr>
          <w:rFonts w:hint="eastAsia" w:ascii="Times New Roman" w:hAnsi="Times New Roman" w:eastAsia="仿宋_GB2312" w:cs="仿宋"/>
          <w:b/>
          <w:sz w:val="32"/>
          <w:szCs w:val="32"/>
        </w:rPr>
        <w:t>2</w:t>
      </w:r>
      <w:r>
        <w:rPr>
          <w:rFonts w:hint="eastAsia" w:ascii="仿宋_GB2312" w:hAnsi="仿宋" w:eastAsia="仿宋_GB2312" w:cs="仿宋"/>
          <w:b/>
          <w:sz w:val="32"/>
          <w:szCs w:val="32"/>
        </w:rPr>
        <w:t>.评价方法</w:t>
      </w:r>
    </w:p>
    <w:p>
      <w:pPr>
        <w:ind w:firstLine="640" w:firstLineChars="200"/>
        <w:rPr>
          <w:rFonts w:ascii="仿宋_GB2312" w:hAnsi="仿宋_GB2312" w:eastAsia="仿宋_GB2312" w:cs="仿宋_GB2312"/>
          <w:sz w:val="32"/>
          <w:szCs w:val="32"/>
        </w:rPr>
      </w:pPr>
      <w:bookmarkStart w:id="36" w:name="_Toc13045374"/>
      <w:r>
        <w:rPr>
          <w:rFonts w:ascii="仿宋_GB2312" w:hAnsi="仿宋_GB2312" w:eastAsia="仿宋_GB2312" w:cs="仿宋_GB2312"/>
          <w:sz w:val="32"/>
          <w:szCs w:val="32"/>
        </w:rPr>
        <w:t>本次绩效评价采用定量与定性评价相结合的方法，以材料</w:t>
      </w:r>
      <w:r>
        <w:rPr>
          <w:rFonts w:hint="eastAsia" w:ascii="仿宋_GB2312" w:hAnsi="仿宋_GB2312" w:eastAsia="仿宋_GB2312" w:cs="仿宋_GB2312"/>
          <w:sz w:val="32"/>
          <w:szCs w:val="32"/>
        </w:rPr>
        <w:t>核实</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现场核查、</w:t>
      </w:r>
      <w:r>
        <w:rPr>
          <w:rFonts w:ascii="仿宋_GB2312" w:hAnsi="仿宋_GB2312" w:eastAsia="仿宋_GB2312" w:cs="仿宋_GB2312"/>
          <w:sz w:val="32"/>
          <w:szCs w:val="32"/>
        </w:rPr>
        <w:t>访谈、座谈、问卷调查为基础，综合应用比较法、因素分析法、公众评判法等多种方法，对项目支出及政策的经济性、效率性、效益性和公平性进行综合评价。绩效评价结果采取评分和评级相结合的方式，总分为</w:t>
      </w:r>
      <w:r>
        <w:rPr>
          <w:rFonts w:ascii="Times New Roman" w:hAnsi="Times New Roman" w:eastAsia="仿宋_GB2312" w:cs="仿宋_GB2312"/>
          <w:sz w:val="32"/>
          <w:szCs w:val="32"/>
        </w:rPr>
        <w:t>100</w:t>
      </w:r>
      <w:r>
        <w:rPr>
          <w:rFonts w:ascii="仿宋_GB2312" w:hAnsi="仿宋_GB2312" w:eastAsia="仿宋_GB2312" w:cs="仿宋_GB2312"/>
          <w:sz w:val="32"/>
          <w:szCs w:val="32"/>
        </w:rPr>
        <w:t>分，等级划分为四档：综合评分</w:t>
      </w:r>
      <w:r>
        <w:rPr>
          <w:rFonts w:ascii="Times New Roman" w:hAnsi="Times New Roman" w:eastAsia="仿宋_GB2312" w:cs="仿宋_GB2312"/>
          <w:sz w:val="32"/>
          <w:szCs w:val="32"/>
        </w:rPr>
        <w:t>90</w:t>
      </w:r>
      <w:r>
        <w:rPr>
          <w:rFonts w:ascii="仿宋_GB2312" w:hAnsi="仿宋_GB2312" w:eastAsia="仿宋_GB2312" w:cs="仿宋_GB2312"/>
          <w:sz w:val="32"/>
          <w:szCs w:val="32"/>
        </w:rPr>
        <w:t>分（含）-</w:t>
      </w:r>
      <w:r>
        <w:rPr>
          <w:rFonts w:ascii="Times New Roman" w:hAnsi="Times New Roman" w:eastAsia="仿宋_GB2312" w:cs="仿宋_GB2312"/>
          <w:sz w:val="32"/>
          <w:szCs w:val="32"/>
        </w:rPr>
        <w:t>100</w:t>
      </w:r>
      <w:r>
        <w:rPr>
          <w:rFonts w:ascii="仿宋_GB2312" w:hAnsi="仿宋_GB2312" w:eastAsia="仿宋_GB2312" w:cs="仿宋_GB2312"/>
          <w:sz w:val="32"/>
          <w:szCs w:val="32"/>
        </w:rPr>
        <w:t>分为“优”，</w:t>
      </w:r>
      <w:r>
        <w:rPr>
          <w:rFonts w:ascii="Times New Roman" w:hAnsi="Times New Roman" w:eastAsia="仿宋_GB2312" w:cs="仿宋_GB2312"/>
          <w:sz w:val="32"/>
          <w:szCs w:val="32"/>
        </w:rPr>
        <w:t>80</w:t>
      </w:r>
      <w:r>
        <w:rPr>
          <w:rFonts w:ascii="仿宋_GB2312" w:hAnsi="仿宋_GB2312" w:eastAsia="仿宋_GB2312" w:cs="仿宋_GB2312"/>
          <w:sz w:val="32"/>
          <w:szCs w:val="32"/>
        </w:rPr>
        <w:t>分（含）-</w:t>
      </w:r>
      <w:r>
        <w:rPr>
          <w:rFonts w:ascii="Times New Roman" w:hAnsi="Times New Roman" w:eastAsia="仿宋_GB2312" w:cs="仿宋_GB2312"/>
          <w:sz w:val="32"/>
          <w:szCs w:val="32"/>
        </w:rPr>
        <w:t>90</w:t>
      </w:r>
      <w:r>
        <w:rPr>
          <w:rFonts w:ascii="仿宋_GB2312" w:hAnsi="仿宋_GB2312" w:eastAsia="仿宋_GB2312" w:cs="仿宋_GB2312"/>
          <w:sz w:val="32"/>
          <w:szCs w:val="32"/>
        </w:rPr>
        <w:t>分为“良”，</w:t>
      </w:r>
      <w:r>
        <w:rPr>
          <w:rFonts w:ascii="Times New Roman" w:hAnsi="Times New Roman" w:eastAsia="仿宋_GB2312" w:cs="仿宋_GB2312"/>
          <w:sz w:val="32"/>
          <w:szCs w:val="32"/>
        </w:rPr>
        <w:t>60</w:t>
      </w:r>
      <w:r>
        <w:rPr>
          <w:rFonts w:ascii="仿宋_GB2312" w:hAnsi="仿宋_GB2312" w:eastAsia="仿宋_GB2312" w:cs="仿宋_GB2312"/>
          <w:sz w:val="32"/>
          <w:szCs w:val="32"/>
        </w:rPr>
        <w:t>分（含）-</w:t>
      </w:r>
      <w:r>
        <w:rPr>
          <w:rFonts w:ascii="Times New Roman" w:hAnsi="Times New Roman" w:eastAsia="仿宋_GB2312" w:cs="仿宋_GB2312"/>
          <w:sz w:val="32"/>
          <w:szCs w:val="32"/>
        </w:rPr>
        <w:t>80</w:t>
      </w:r>
      <w:r>
        <w:rPr>
          <w:rFonts w:ascii="仿宋_GB2312" w:hAnsi="仿宋_GB2312" w:eastAsia="仿宋_GB2312" w:cs="仿宋_GB2312"/>
          <w:sz w:val="32"/>
          <w:szCs w:val="32"/>
        </w:rPr>
        <w:t>分为“中”，</w:t>
      </w:r>
      <w:r>
        <w:rPr>
          <w:rFonts w:ascii="Times New Roman" w:hAnsi="Times New Roman" w:eastAsia="仿宋_GB2312" w:cs="仿宋_GB2312"/>
          <w:sz w:val="32"/>
          <w:szCs w:val="32"/>
        </w:rPr>
        <w:t>60</w:t>
      </w:r>
      <w:r>
        <w:rPr>
          <w:rFonts w:ascii="仿宋_GB2312" w:hAnsi="仿宋_GB2312" w:eastAsia="仿宋_GB2312" w:cs="仿宋_GB2312"/>
          <w:sz w:val="32"/>
          <w:szCs w:val="32"/>
        </w:rPr>
        <w:t>分以下为“差”。</w:t>
      </w:r>
    </w:p>
    <w:p>
      <w:pPr>
        <w:ind w:firstLine="640" w:firstLineChars="200"/>
        <w:rPr>
          <w:rFonts w:ascii="仿宋_GB2312" w:hAnsi="仿宋_GB2312" w:eastAsia="仿宋_GB2312" w:cs="仿宋_GB2312"/>
          <w:sz w:val="32"/>
          <w:szCs w:val="32"/>
        </w:rPr>
      </w:pPr>
      <w:r>
        <w:rPr>
          <w:rFonts w:ascii="Times New Roman" w:hAnsi="Times New Roman" w:eastAsia="仿宋_GB2312" w:cs="仿宋_GB2312"/>
          <w:sz w:val="32"/>
          <w:szCs w:val="32"/>
        </w:rPr>
        <w:t>（1）</w:t>
      </w:r>
      <w:r>
        <w:rPr>
          <w:rFonts w:ascii="仿宋_GB2312" w:hAnsi="仿宋_GB2312" w:eastAsia="仿宋_GB2312" w:cs="仿宋_GB2312"/>
          <w:sz w:val="32"/>
          <w:szCs w:val="32"/>
        </w:rPr>
        <w:t>比较法：指通过对绩效目标与实施效果、历史与当期情况、不同部门和地区同类支出的比较，综合分析绩效目标实现程度。</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本次绩效评价对</w:t>
      </w:r>
      <w:r>
        <w:rPr>
          <w:rFonts w:ascii="Times New Roman" w:hAnsi="Times New Roman" w:eastAsia="仿宋_GB2312" w:cs="Times New Roman"/>
          <w:sz w:val="32"/>
          <w:szCs w:val="32"/>
        </w:rPr>
        <w:t>2019年平陆县圣人涧镇营村村一组至二组道路建设工程项目</w:t>
      </w:r>
      <w:r>
        <w:rPr>
          <w:rFonts w:ascii="仿宋_GB2312" w:hAnsi="仿宋_GB2312" w:eastAsia="仿宋_GB2312" w:cs="仿宋_GB2312"/>
          <w:sz w:val="32"/>
          <w:szCs w:val="32"/>
        </w:rPr>
        <w:t>的实施效果与该项目的绩效目标进行比较，在进行实地勘验后，综合分析绩效目标的实现程度。</w:t>
      </w:r>
    </w:p>
    <w:p>
      <w:pPr>
        <w:ind w:firstLine="640" w:firstLineChars="200"/>
        <w:rPr>
          <w:rFonts w:ascii="仿宋_GB2312" w:hAnsi="仿宋_GB2312" w:eastAsia="仿宋_GB2312" w:cs="仿宋_GB2312"/>
          <w:sz w:val="32"/>
          <w:szCs w:val="32"/>
        </w:rPr>
      </w:pPr>
      <w:r>
        <w:rPr>
          <w:rFonts w:hint="eastAsia" w:ascii="Times New Roman" w:hAnsi="Times New Roman" w:eastAsia="仿宋_GB2312" w:cs="仿宋_GB2312"/>
          <w:sz w:val="32"/>
          <w:szCs w:val="32"/>
        </w:rPr>
        <w:t>（2）</w:t>
      </w:r>
      <w:r>
        <w:rPr>
          <w:rFonts w:ascii="仿宋_GB2312" w:hAnsi="仿宋_GB2312" w:eastAsia="仿宋_GB2312" w:cs="仿宋_GB2312"/>
          <w:sz w:val="32"/>
          <w:szCs w:val="32"/>
        </w:rPr>
        <w:t>因素分析法。是指综合分析影响绩效目标实现、实施效果的内外部因素的方法。</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本次绩效评价通过对</w:t>
      </w:r>
      <w:r>
        <w:rPr>
          <w:rFonts w:ascii="Times New Roman" w:hAnsi="Times New Roman" w:eastAsia="仿宋_GB2312" w:cs="Times New Roman"/>
          <w:sz w:val="32"/>
          <w:szCs w:val="32"/>
        </w:rPr>
        <w:t>2019年平陆县圣人涧镇营村村一组至二组道路建设工程项目</w:t>
      </w:r>
      <w:r>
        <w:rPr>
          <w:rFonts w:ascii="仿宋_GB2312" w:hAnsi="仿宋_GB2312" w:eastAsia="仿宋_GB2312" w:cs="仿宋_GB2312"/>
          <w:sz w:val="32"/>
          <w:szCs w:val="32"/>
        </w:rPr>
        <w:t>影响绩效目标实现的内外因素如</w:t>
      </w:r>
      <w:r>
        <w:rPr>
          <w:rFonts w:hint="eastAsia" w:ascii="仿宋_GB2312" w:hAnsi="仿宋_GB2312" w:eastAsia="仿宋_GB2312" w:cs="仿宋_GB2312"/>
          <w:sz w:val="32"/>
          <w:szCs w:val="32"/>
        </w:rPr>
        <w:t>项目完工</w:t>
      </w:r>
      <w:r>
        <w:rPr>
          <w:rFonts w:ascii="仿宋_GB2312" w:hAnsi="仿宋_GB2312" w:eastAsia="仿宋_GB2312" w:cs="仿宋_GB2312"/>
          <w:sz w:val="32"/>
          <w:szCs w:val="32"/>
        </w:rPr>
        <w:t>、实施过程规范性等综合分析评价绩效目标的实现程度。</w:t>
      </w:r>
    </w:p>
    <w:p>
      <w:pPr>
        <w:ind w:firstLine="640" w:firstLineChars="200"/>
        <w:rPr>
          <w:rFonts w:ascii="仿宋_GB2312" w:hAnsi="仿宋_GB2312" w:eastAsia="仿宋_GB2312" w:cs="仿宋_GB2312"/>
          <w:sz w:val="32"/>
          <w:szCs w:val="32"/>
        </w:rPr>
      </w:pPr>
      <w:r>
        <w:rPr>
          <w:rFonts w:hint="eastAsia" w:ascii="Times New Roman" w:hAnsi="Times New Roman" w:eastAsia="仿宋_GB2312" w:cs="仿宋_GB2312"/>
          <w:sz w:val="32"/>
          <w:szCs w:val="32"/>
        </w:rPr>
        <w:t>（3）</w:t>
      </w:r>
      <w:r>
        <w:rPr>
          <w:rFonts w:ascii="仿宋_GB2312" w:hAnsi="仿宋_GB2312" w:eastAsia="仿宋_GB2312" w:cs="仿宋_GB2312"/>
          <w:sz w:val="32"/>
          <w:szCs w:val="32"/>
        </w:rPr>
        <w:t>公众评判法：指通过专家评估、公众问卷及</w:t>
      </w:r>
      <w:r>
        <w:rPr>
          <w:rFonts w:hint="eastAsia" w:ascii="仿宋_GB2312" w:hAnsi="仿宋_GB2312" w:eastAsia="仿宋_GB2312" w:cs="仿宋_GB2312"/>
          <w:sz w:val="32"/>
          <w:szCs w:val="32"/>
        </w:rPr>
        <w:t>实地</w:t>
      </w:r>
      <w:r>
        <w:rPr>
          <w:rFonts w:ascii="仿宋_GB2312" w:hAnsi="仿宋_GB2312" w:eastAsia="仿宋_GB2312" w:cs="仿宋_GB2312"/>
          <w:sz w:val="32"/>
          <w:szCs w:val="32"/>
        </w:rPr>
        <w:t>调查等对财政支出效果进行评判，评价绩效目标实现程度。</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本次绩效评价设置问卷调查方案、访谈调查方案，主要调查受益群体满意度、项目</w:t>
      </w:r>
      <w:r>
        <w:rPr>
          <w:rFonts w:hint="eastAsia" w:ascii="仿宋_GB2312" w:hAnsi="仿宋_GB2312" w:eastAsia="仿宋_GB2312" w:cs="仿宋_GB2312"/>
          <w:sz w:val="32"/>
          <w:szCs w:val="32"/>
        </w:rPr>
        <w:t>实施</w:t>
      </w:r>
      <w:r>
        <w:rPr>
          <w:rFonts w:ascii="仿宋_GB2312" w:hAnsi="仿宋_GB2312" w:eastAsia="仿宋_GB2312" w:cs="仿宋_GB2312"/>
          <w:sz w:val="32"/>
          <w:szCs w:val="32"/>
        </w:rPr>
        <w:t>单位管理的规范性和实施效果，从不同维度对项目实施情况进行绩效评价。</w:t>
      </w:r>
    </w:p>
    <w:p>
      <w:pPr>
        <w:ind w:firstLine="640" w:firstLineChars="200"/>
        <w:outlineLvl w:val="1"/>
        <w:rPr>
          <w:rFonts w:ascii="楷体" w:hAnsi="楷体" w:eastAsia="楷体"/>
          <w:sz w:val="32"/>
          <w:szCs w:val="32"/>
        </w:rPr>
      </w:pPr>
      <w:bookmarkStart w:id="37" w:name="_Toc7074"/>
      <w:r>
        <w:rPr>
          <w:rFonts w:hint="eastAsia" w:ascii="楷体" w:hAnsi="楷体" w:eastAsia="楷体"/>
          <w:sz w:val="32"/>
          <w:szCs w:val="32"/>
        </w:rPr>
        <w:t>（三）</w:t>
      </w:r>
      <w:r>
        <w:rPr>
          <w:rFonts w:ascii="楷体" w:hAnsi="楷体" w:eastAsia="楷体"/>
          <w:sz w:val="32"/>
          <w:szCs w:val="32"/>
        </w:rPr>
        <w:t>绩效评价指标体系</w:t>
      </w:r>
      <w:bookmarkEnd w:id="36"/>
      <w:bookmarkEnd w:id="37"/>
    </w:p>
    <w:p>
      <w:pPr>
        <w:ind w:firstLine="643" w:firstLineChars="200"/>
        <w:rPr>
          <w:rFonts w:ascii="仿宋_GB2312" w:hAnsi="仿宋" w:eastAsia="仿宋_GB2312" w:cs="Times New Roman"/>
          <w:b/>
          <w:sz w:val="32"/>
          <w:szCs w:val="32"/>
        </w:rPr>
      </w:pPr>
      <w:r>
        <w:rPr>
          <w:rFonts w:hint="eastAsia" w:ascii="Times New Roman" w:hAnsi="Times New Roman" w:eastAsia="仿宋_GB2312" w:cs="仿宋"/>
          <w:b/>
          <w:bCs/>
          <w:sz w:val="32"/>
          <w:szCs w:val="32"/>
        </w:rPr>
        <w:t>1</w:t>
      </w:r>
      <w:r>
        <w:rPr>
          <w:rFonts w:hint="eastAsia" w:ascii="仿宋_GB2312" w:hAnsi="仿宋" w:eastAsia="仿宋_GB2312" w:cs="仿宋"/>
          <w:b/>
          <w:bCs/>
          <w:sz w:val="32"/>
          <w:szCs w:val="32"/>
        </w:rPr>
        <w:t>.指标体系设计的总体思路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根据《中共中央 国务院关于全面实施预算绩效管理的意见》（中发〔</w:t>
      </w:r>
      <w:r>
        <w:rPr>
          <w:rFonts w:hint="eastAsia" w:ascii="Times New Roman" w:hAnsi="Times New Roman" w:eastAsia="仿宋_GB2312" w:cs="仿宋_GB2312"/>
          <w:sz w:val="32"/>
          <w:szCs w:val="32"/>
        </w:rPr>
        <w:t>2018</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34</w:t>
      </w:r>
      <w:r>
        <w:rPr>
          <w:rFonts w:hint="eastAsia" w:ascii="仿宋_GB2312" w:hAnsi="仿宋_GB2312" w:eastAsia="仿宋_GB2312" w:cs="仿宋_GB2312"/>
          <w:sz w:val="32"/>
          <w:szCs w:val="32"/>
        </w:rPr>
        <w:t>号）、《财政部关于贯彻落实&lt;中共中央 国务院关于全面实施预算绩效管理的意见&gt;的通知》（财预〔</w:t>
      </w:r>
      <w:r>
        <w:rPr>
          <w:rFonts w:hint="eastAsia" w:ascii="Times New Roman" w:hAnsi="Times New Roman" w:eastAsia="仿宋_GB2312" w:cs="仿宋_GB2312"/>
          <w:sz w:val="32"/>
          <w:szCs w:val="32"/>
        </w:rPr>
        <w:t>2018</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167</w:t>
      </w:r>
      <w:r>
        <w:rPr>
          <w:rFonts w:hint="eastAsia" w:ascii="仿宋_GB2312" w:hAnsi="仿宋_GB2312" w:eastAsia="仿宋_GB2312" w:cs="仿宋_GB2312"/>
          <w:sz w:val="32"/>
          <w:szCs w:val="32"/>
        </w:rPr>
        <w:t>号）、《财政部关于印发&lt;项目支出绩效评价管理办法&gt;的通知》（财预〔</w:t>
      </w:r>
      <w:r>
        <w:rPr>
          <w:rFonts w:hint="eastAsia" w:ascii="Times New Roman" w:hAnsi="Times New Roman" w:eastAsia="仿宋_GB2312" w:cs="仿宋_GB2312"/>
          <w:sz w:val="32"/>
          <w:szCs w:val="32"/>
        </w:rPr>
        <w:t>2020</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10</w:t>
      </w:r>
      <w:r>
        <w:rPr>
          <w:rFonts w:hint="eastAsia" w:ascii="仿宋_GB2312" w:hAnsi="仿宋_GB2312" w:eastAsia="仿宋_GB2312" w:cs="仿宋_GB2312"/>
          <w:sz w:val="32"/>
          <w:szCs w:val="32"/>
        </w:rPr>
        <w:t>号）、《中共山西省委</w:t>
      </w:r>
      <w:r>
        <w:rPr>
          <w:rFonts w:ascii="仿宋_GB2312" w:hAnsi="仿宋_GB2312" w:eastAsia="仿宋_GB2312" w:cs="仿宋_GB2312"/>
          <w:sz w:val="32"/>
          <w:szCs w:val="32"/>
        </w:rPr>
        <w:t xml:space="preserve"> 山西省人民政府关于全面实施预算绩效管理的实施意见》（晋发〔</w:t>
      </w:r>
      <w:r>
        <w:rPr>
          <w:rFonts w:ascii="Times New Roman" w:hAnsi="Times New Roman" w:eastAsia="仿宋_GB2312" w:cs="仿宋_GB2312"/>
          <w:sz w:val="32"/>
          <w:szCs w:val="32"/>
        </w:rPr>
        <w:t>2018</w:t>
      </w:r>
      <w:r>
        <w:rPr>
          <w:rFonts w:ascii="仿宋_GB2312" w:hAnsi="仿宋_GB2312" w:eastAsia="仿宋_GB2312" w:cs="仿宋_GB2312"/>
          <w:sz w:val="32"/>
          <w:szCs w:val="32"/>
        </w:rPr>
        <w:t>〕</w:t>
      </w:r>
      <w:r>
        <w:rPr>
          <w:rFonts w:ascii="Times New Roman" w:hAnsi="Times New Roman" w:eastAsia="仿宋_GB2312" w:cs="仿宋_GB2312"/>
          <w:sz w:val="32"/>
          <w:szCs w:val="32"/>
        </w:rPr>
        <w:t>39</w:t>
      </w:r>
      <w:r>
        <w:rPr>
          <w:rFonts w:ascii="仿宋_GB2312" w:hAnsi="仿宋_GB2312" w:eastAsia="仿宋_GB2312" w:cs="仿宋_GB2312"/>
          <w:sz w:val="32"/>
          <w:szCs w:val="32"/>
        </w:rPr>
        <w:t>号）</w:t>
      </w:r>
      <w:r>
        <w:rPr>
          <w:rFonts w:hint="eastAsia" w:ascii="仿宋_GB2312" w:hAnsi="仿宋_GB2312" w:eastAsia="仿宋_GB2312" w:cs="仿宋_GB2312"/>
          <w:sz w:val="32"/>
          <w:szCs w:val="32"/>
        </w:rPr>
        <w:t>和《平陆县财政局关于开展&lt;</w:t>
      </w:r>
      <w:r>
        <w:rPr>
          <w:rFonts w:hint="eastAsia" w:ascii="Times New Roman" w:hAnsi="Times New Roman" w:eastAsia="仿宋_GB2312" w:cs="仿宋_GB2312"/>
          <w:sz w:val="32"/>
          <w:szCs w:val="32"/>
        </w:rPr>
        <w:t>2019</w:t>
      </w:r>
      <w:r>
        <w:rPr>
          <w:rFonts w:hint="eastAsia" w:ascii="仿宋_GB2312" w:hAnsi="仿宋_GB2312" w:eastAsia="仿宋_GB2312" w:cs="仿宋_GB2312"/>
          <w:sz w:val="32"/>
          <w:szCs w:val="32"/>
        </w:rPr>
        <w:t>年度财政支出绩效评价工作&gt;的通知》(平财绩字〔</w:t>
      </w:r>
      <w:r>
        <w:rPr>
          <w:rFonts w:hint="eastAsia" w:ascii="Times New Roman" w:hAnsi="Times New Roman" w:eastAsia="仿宋_GB2312" w:cs="仿宋_GB2312"/>
          <w:sz w:val="32"/>
          <w:szCs w:val="32"/>
        </w:rPr>
        <w:t>2020</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号)等相关文件的要求，从</w:t>
      </w:r>
      <w:r>
        <w:rPr>
          <w:rFonts w:ascii="仿宋_GB2312" w:hAnsi="仿宋_GB2312" w:eastAsia="仿宋_GB2312" w:cs="仿宋_GB2312"/>
          <w:sz w:val="32"/>
          <w:szCs w:val="32"/>
        </w:rPr>
        <w:t>决策、过程、产出和效益</w:t>
      </w:r>
      <w:r>
        <w:rPr>
          <w:rFonts w:hint="eastAsia" w:ascii="仿宋_GB2312" w:hAnsi="仿宋_GB2312" w:eastAsia="仿宋_GB2312" w:cs="仿宋_GB2312"/>
          <w:sz w:val="32"/>
          <w:szCs w:val="32"/>
        </w:rPr>
        <w:t>四个维度对资金使用管理的经济性、效率性、效益性和公平性进行综合评价。</w:t>
      </w:r>
    </w:p>
    <w:p>
      <w:pPr>
        <w:widowControl w:val="0"/>
        <w:ind w:firstLine="643" w:firstLineChars="200"/>
        <w:rPr>
          <w:rFonts w:ascii="仿宋_GB2312" w:hAnsi="仿宋" w:eastAsia="仿宋_GB2312" w:cs="仿宋"/>
          <w:b/>
          <w:bCs/>
          <w:sz w:val="32"/>
          <w:szCs w:val="32"/>
        </w:rPr>
      </w:pPr>
      <w:r>
        <w:rPr>
          <w:rFonts w:hint="eastAsia" w:ascii="Times New Roman" w:hAnsi="Times New Roman" w:eastAsia="仿宋_GB2312" w:cs="仿宋"/>
          <w:b/>
          <w:bCs/>
          <w:sz w:val="32"/>
          <w:szCs w:val="32"/>
        </w:rPr>
        <w:t>2</w:t>
      </w:r>
      <w:r>
        <w:rPr>
          <w:rFonts w:hint="eastAsia" w:ascii="仿宋_GB2312" w:hAnsi="仿宋" w:eastAsia="仿宋_GB2312" w:cs="仿宋"/>
          <w:b/>
          <w:bCs/>
          <w:sz w:val="32"/>
          <w:szCs w:val="32"/>
        </w:rPr>
        <w:t>.绩效评价指标体系</w:t>
      </w:r>
    </w:p>
    <w:p>
      <w:pPr>
        <w:overflowPunct w:val="0"/>
        <w:ind w:firstLine="640" w:firstLineChars="200"/>
        <w:rPr>
          <w:rFonts w:ascii="仿宋_GB2312" w:hAnsi="仿宋_GB2312" w:eastAsia="仿宋_GB2312" w:cs="仿宋_GB2312"/>
          <w:sz w:val="32"/>
          <w:szCs w:val="32"/>
        </w:rPr>
      </w:pPr>
      <w:bookmarkStart w:id="38" w:name="_Hlk7442482"/>
      <w:r>
        <w:rPr>
          <w:rFonts w:hint="eastAsia" w:ascii="仿宋_GB2312" w:hAnsi="仿宋_GB2312" w:eastAsia="仿宋_GB2312" w:cs="仿宋_GB2312"/>
          <w:sz w:val="32"/>
          <w:szCs w:val="32"/>
        </w:rPr>
        <w:t>根据《平陆县财政局关于开展&lt;</w:t>
      </w:r>
      <w:r>
        <w:rPr>
          <w:rFonts w:hint="eastAsia" w:ascii="Times New Roman" w:hAnsi="Times New Roman" w:eastAsia="仿宋_GB2312" w:cs="仿宋_GB2312"/>
          <w:sz w:val="32"/>
          <w:szCs w:val="32"/>
        </w:rPr>
        <w:t>2019</w:t>
      </w:r>
      <w:r>
        <w:rPr>
          <w:rFonts w:hint="eastAsia" w:ascii="仿宋_GB2312" w:hAnsi="仿宋_GB2312" w:eastAsia="仿宋_GB2312" w:cs="仿宋_GB2312"/>
          <w:sz w:val="32"/>
          <w:szCs w:val="32"/>
        </w:rPr>
        <w:t>年度财政支出绩效评价工作&gt;的通知》(平财绩字〔</w:t>
      </w:r>
      <w:r>
        <w:rPr>
          <w:rFonts w:hint="eastAsia" w:ascii="Times New Roman" w:hAnsi="Times New Roman" w:eastAsia="仿宋_GB2312" w:cs="仿宋_GB2312"/>
          <w:sz w:val="32"/>
          <w:szCs w:val="32"/>
        </w:rPr>
        <w:t>2020</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号)</w:t>
      </w:r>
      <w:r>
        <w:rPr>
          <w:rFonts w:ascii="仿宋_GB2312" w:hAnsi="仿宋_GB2312" w:eastAsia="仿宋_GB2312" w:cs="仿宋_GB2312"/>
          <w:sz w:val="32"/>
          <w:szCs w:val="32"/>
        </w:rPr>
        <w:t>文件</w:t>
      </w:r>
      <w:r>
        <w:rPr>
          <w:rFonts w:hint="eastAsia" w:ascii="仿宋_GB2312" w:hAnsi="仿宋_GB2312" w:eastAsia="仿宋_GB2312" w:cs="仿宋_GB2312"/>
          <w:sz w:val="32"/>
          <w:szCs w:val="32"/>
        </w:rPr>
        <w:t>规定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遵循相关性、重要性、可比性、系统性、经济性原则，形成</w:t>
      </w:r>
      <w:r>
        <w:rPr>
          <w:rFonts w:hint="eastAsia" w:ascii="Times New Roman" w:hAnsi="Times New Roman" w:eastAsia="仿宋_GB2312" w:cs="仿宋_GB2312"/>
          <w:sz w:val="32"/>
          <w:szCs w:val="32"/>
        </w:rPr>
        <w:t>2019年平陆县圣人涧镇营村村一组至二组道路建设工程项目</w:t>
      </w:r>
      <w:r>
        <w:rPr>
          <w:rFonts w:ascii="仿宋_GB2312" w:hAnsi="仿宋_GB2312" w:eastAsia="仿宋_GB2312" w:cs="仿宋_GB2312"/>
          <w:sz w:val="32"/>
          <w:szCs w:val="32"/>
        </w:rPr>
        <w:t>绩效评价指标体系，</w:t>
      </w:r>
      <w:r>
        <w:rPr>
          <w:rFonts w:hint="eastAsia" w:ascii="仿宋_GB2312" w:hAnsi="仿宋_GB2312" w:eastAsia="仿宋_GB2312" w:cs="仿宋_GB2312"/>
          <w:sz w:val="32"/>
          <w:szCs w:val="32"/>
        </w:rPr>
        <w:t>其中一级指标</w:t>
      </w: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rPr>
        <w:t>个，二级指标</w:t>
      </w:r>
      <w:r>
        <w:rPr>
          <w:rFonts w:hint="eastAsia" w:ascii="Times New Roman" w:hAnsi="Times New Roman" w:eastAsia="仿宋_GB2312" w:cs="仿宋_GB2312"/>
          <w:sz w:val="32"/>
          <w:szCs w:val="32"/>
        </w:rPr>
        <w:t>13</w:t>
      </w:r>
      <w:r>
        <w:rPr>
          <w:rFonts w:hint="eastAsia" w:ascii="仿宋_GB2312" w:hAnsi="仿宋_GB2312" w:eastAsia="仿宋_GB2312" w:cs="仿宋_GB2312"/>
          <w:sz w:val="32"/>
          <w:szCs w:val="32"/>
        </w:rPr>
        <w:t>个，三级指标</w:t>
      </w:r>
      <w:r>
        <w:rPr>
          <w:rFonts w:hint="eastAsia" w:ascii="Times New Roman" w:hAnsi="Times New Roman" w:eastAsia="仿宋_GB2312" w:cs="仿宋_GB2312"/>
          <w:sz w:val="32"/>
          <w:szCs w:val="32"/>
        </w:rPr>
        <w:t>23</w:t>
      </w:r>
      <w:r>
        <w:rPr>
          <w:rFonts w:hint="eastAsia" w:ascii="仿宋_GB2312" w:hAnsi="仿宋_GB2312" w:eastAsia="仿宋_GB2312" w:cs="仿宋_GB2312"/>
          <w:sz w:val="32"/>
          <w:szCs w:val="32"/>
        </w:rPr>
        <w:t>个，具体的指标名称及权重下表</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w:t>
      </w:r>
    </w:p>
    <w:p>
      <w:pPr>
        <w:jc w:val="center"/>
        <w:rPr>
          <w:rFonts w:hint="eastAsia" w:ascii="Times New Roman" w:hAnsi="Times New Roman" w:eastAsia="黑体" w:cs="Times New Roman"/>
          <w:sz w:val="28"/>
          <w:szCs w:val="28"/>
        </w:rPr>
      </w:pPr>
      <w:r>
        <w:rPr>
          <w:rFonts w:hint="eastAsia" w:ascii="黑体" w:hAnsi="黑体" w:eastAsia="黑体" w:cs="Times New Roman"/>
          <w:sz w:val="28"/>
          <w:szCs w:val="28"/>
        </w:rPr>
        <w:t>表</w:t>
      </w:r>
      <w:r>
        <w:rPr>
          <w:rFonts w:hint="eastAsia" w:ascii="Times New Roman" w:hAnsi="Times New Roman" w:eastAsia="黑体" w:cs="Times New Roman"/>
          <w:sz w:val="28"/>
          <w:szCs w:val="28"/>
        </w:rPr>
        <w:t>2</w:t>
      </w:r>
      <w:r>
        <w:rPr>
          <w:rFonts w:ascii="黑体" w:hAnsi="黑体" w:eastAsia="黑体" w:cs="Times New Roman"/>
          <w:sz w:val="28"/>
          <w:szCs w:val="28"/>
        </w:rPr>
        <w:t>-</w:t>
      </w:r>
      <w:r>
        <w:rPr>
          <w:rFonts w:hint="eastAsia" w:ascii="Times New Roman" w:hAnsi="Times New Roman" w:eastAsia="黑体" w:cs="Times New Roman"/>
          <w:sz w:val="28"/>
          <w:szCs w:val="28"/>
        </w:rPr>
        <w:t>1</w:t>
      </w:r>
      <w:r>
        <w:rPr>
          <w:rFonts w:hint="eastAsia" w:ascii="黑体" w:hAnsi="黑体" w:eastAsia="黑体" w:cs="Times New Roman"/>
          <w:sz w:val="28"/>
          <w:szCs w:val="28"/>
        </w:rPr>
        <w:t xml:space="preserve"> </w:t>
      </w:r>
      <w:r>
        <w:rPr>
          <w:rFonts w:hint="eastAsia" w:ascii="Times New Roman" w:hAnsi="Times New Roman" w:eastAsia="黑体" w:cs="Times New Roman"/>
          <w:sz w:val="28"/>
          <w:szCs w:val="28"/>
        </w:rPr>
        <w:t>2019年平陆县圣人涧镇营村村一组至二组</w:t>
      </w:r>
    </w:p>
    <w:p>
      <w:pPr>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道路建设工程项目</w:t>
      </w:r>
      <w:r>
        <w:rPr>
          <w:rFonts w:hint="eastAsia" w:ascii="黑体" w:hAnsi="黑体" w:eastAsia="黑体" w:cs="Times New Roman"/>
          <w:sz w:val="28"/>
          <w:szCs w:val="28"/>
        </w:rPr>
        <w:t>绩效评价指标体系</w:t>
      </w:r>
    </w:p>
    <w:tbl>
      <w:tblPr>
        <w:tblStyle w:val="18"/>
        <w:tblW w:w="8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708"/>
        <w:gridCol w:w="1574"/>
        <w:gridCol w:w="694"/>
        <w:gridCol w:w="384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blHeader/>
          <w:jc w:val="center"/>
        </w:trPr>
        <w:tc>
          <w:tcPr>
            <w:tcW w:w="1056" w:type="dxa"/>
            <w:shd w:val="clear" w:color="auto" w:fill="A5A5A5" w:themeFill="background1" w:themeFillShade="A6"/>
            <w:vAlign w:val="center"/>
          </w:tcPr>
          <w:p>
            <w:pPr>
              <w:snapToGrid w:val="0"/>
              <w:spacing w:line="240" w:lineRule="auto"/>
              <w:jc w:val="center"/>
              <w:rPr>
                <w:rFonts w:cs="仿宋_GB2312"/>
                <w:b/>
                <w:sz w:val="20"/>
                <w:szCs w:val="20"/>
              </w:rPr>
            </w:pPr>
            <w:r>
              <w:rPr>
                <w:rFonts w:hint="eastAsia" w:cs="仿宋_GB2312"/>
                <w:b/>
                <w:sz w:val="20"/>
                <w:szCs w:val="20"/>
              </w:rPr>
              <w:t>一级指标</w:t>
            </w:r>
          </w:p>
        </w:tc>
        <w:tc>
          <w:tcPr>
            <w:tcW w:w="708" w:type="dxa"/>
            <w:shd w:val="clear" w:color="auto" w:fill="A5A5A5" w:themeFill="background1" w:themeFillShade="A6"/>
            <w:vAlign w:val="center"/>
          </w:tcPr>
          <w:p>
            <w:pPr>
              <w:snapToGrid w:val="0"/>
              <w:spacing w:line="240" w:lineRule="auto"/>
              <w:jc w:val="center"/>
              <w:rPr>
                <w:rFonts w:cs="仿宋_GB2312"/>
                <w:b/>
                <w:sz w:val="20"/>
                <w:szCs w:val="20"/>
              </w:rPr>
            </w:pPr>
            <w:r>
              <w:rPr>
                <w:rFonts w:hint="eastAsia" w:cs="仿宋_GB2312"/>
                <w:b/>
                <w:sz w:val="20"/>
                <w:szCs w:val="20"/>
              </w:rPr>
              <w:t>分值</w:t>
            </w:r>
          </w:p>
        </w:tc>
        <w:tc>
          <w:tcPr>
            <w:tcW w:w="1574" w:type="dxa"/>
            <w:shd w:val="clear" w:color="auto" w:fill="A5A5A5" w:themeFill="background1" w:themeFillShade="A6"/>
            <w:vAlign w:val="center"/>
          </w:tcPr>
          <w:p>
            <w:pPr>
              <w:snapToGrid w:val="0"/>
              <w:spacing w:line="240" w:lineRule="auto"/>
              <w:jc w:val="center"/>
              <w:rPr>
                <w:rFonts w:cs="仿宋_GB2312"/>
                <w:b/>
                <w:sz w:val="20"/>
                <w:szCs w:val="20"/>
              </w:rPr>
            </w:pPr>
            <w:r>
              <w:rPr>
                <w:rFonts w:hint="eastAsia" w:cs="仿宋_GB2312"/>
                <w:b/>
                <w:sz w:val="20"/>
                <w:szCs w:val="20"/>
              </w:rPr>
              <w:t>二级指标</w:t>
            </w:r>
          </w:p>
        </w:tc>
        <w:tc>
          <w:tcPr>
            <w:tcW w:w="694" w:type="dxa"/>
            <w:shd w:val="clear" w:color="auto" w:fill="A5A5A5" w:themeFill="background1" w:themeFillShade="A6"/>
            <w:vAlign w:val="center"/>
          </w:tcPr>
          <w:p>
            <w:pPr>
              <w:snapToGrid w:val="0"/>
              <w:spacing w:line="240" w:lineRule="auto"/>
              <w:jc w:val="center"/>
              <w:rPr>
                <w:rFonts w:cs="仿宋_GB2312"/>
                <w:b/>
                <w:sz w:val="20"/>
                <w:szCs w:val="20"/>
              </w:rPr>
            </w:pPr>
            <w:r>
              <w:rPr>
                <w:rFonts w:hint="eastAsia" w:cs="仿宋_GB2312"/>
                <w:b/>
                <w:sz w:val="20"/>
                <w:szCs w:val="20"/>
              </w:rPr>
              <w:t>分值</w:t>
            </w:r>
          </w:p>
        </w:tc>
        <w:tc>
          <w:tcPr>
            <w:tcW w:w="3842" w:type="dxa"/>
            <w:shd w:val="clear" w:color="auto" w:fill="A5A5A5" w:themeFill="background1" w:themeFillShade="A6"/>
            <w:vAlign w:val="center"/>
          </w:tcPr>
          <w:p>
            <w:pPr>
              <w:snapToGrid w:val="0"/>
              <w:spacing w:line="240" w:lineRule="auto"/>
              <w:jc w:val="center"/>
              <w:rPr>
                <w:rFonts w:cs="仿宋_GB2312"/>
                <w:b/>
                <w:sz w:val="20"/>
                <w:szCs w:val="20"/>
              </w:rPr>
            </w:pPr>
            <w:r>
              <w:rPr>
                <w:rFonts w:hint="eastAsia" w:cs="仿宋_GB2312"/>
                <w:b/>
                <w:sz w:val="20"/>
                <w:szCs w:val="20"/>
              </w:rPr>
              <w:t>三级指标</w:t>
            </w:r>
          </w:p>
        </w:tc>
        <w:tc>
          <w:tcPr>
            <w:tcW w:w="709" w:type="dxa"/>
            <w:shd w:val="clear" w:color="auto" w:fill="A5A5A5" w:themeFill="background1" w:themeFillShade="A6"/>
            <w:vAlign w:val="center"/>
          </w:tcPr>
          <w:p>
            <w:pPr>
              <w:snapToGrid w:val="0"/>
              <w:spacing w:line="240" w:lineRule="auto"/>
              <w:jc w:val="center"/>
              <w:rPr>
                <w:rFonts w:cs="仿宋_GB2312"/>
                <w:b/>
                <w:sz w:val="20"/>
                <w:szCs w:val="20"/>
              </w:rPr>
            </w:pPr>
            <w:r>
              <w:rPr>
                <w:rFonts w:hint="eastAsia" w:cs="仿宋_GB2312"/>
                <w:b/>
                <w:sz w:val="20"/>
                <w:szCs w:val="2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6" w:type="dxa"/>
            <w:vMerge w:val="restart"/>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A</w:t>
            </w:r>
            <w:r>
              <w:rPr>
                <w:rFonts w:cs="仿宋"/>
                <w:sz w:val="20"/>
                <w:szCs w:val="20"/>
              </w:rPr>
              <w:t>决策</w:t>
            </w:r>
          </w:p>
        </w:tc>
        <w:tc>
          <w:tcPr>
            <w:tcW w:w="708" w:type="dxa"/>
            <w:vMerge w:val="restart"/>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20</w:t>
            </w:r>
          </w:p>
        </w:tc>
        <w:tc>
          <w:tcPr>
            <w:tcW w:w="1574" w:type="dxa"/>
            <w:vMerge w:val="restart"/>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A1</w:t>
            </w:r>
            <w:r>
              <w:rPr>
                <w:rFonts w:hint="eastAsia" w:cs="仿宋"/>
                <w:sz w:val="20"/>
                <w:szCs w:val="20"/>
              </w:rPr>
              <w:t>项目立项</w:t>
            </w:r>
          </w:p>
        </w:tc>
        <w:tc>
          <w:tcPr>
            <w:tcW w:w="694" w:type="dxa"/>
            <w:vMerge w:val="restart"/>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10</w:t>
            </w:r>
          </w:p>
        </w:tc>
        <w:tc>
          <w:tcPr>
            <w:tcW w:w="3842"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A11</w:t>
            </w:r>
            <w:r>
              <w:rPr>
                <w:rFonts w:cs="仿宋"/>
                <w:sz w:val="20"/>
                <w:szCs w:val="20"/>
              </w:rPr>
              <w:t>立项依据充分性</w:t>
            </w:r>
          </w:p>
        </w:tc>
        <w:tc>
          <w:tcPr>
            <w:tcW w:w="709"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6" w:type="dxa"/>
            <w:vMerge w:val="continue"/>
            <w:vAlign w:val="center"/>
          </w:tcPr>
          <w:p>
            <w:pPr>
              <w:snapToGrid w:val="0"/>
              <w:spacing w:line="240" w:lineRule="auto"/>
              <w:jc w:val="center"/>
              <w:rPr>
                <w:color w:val="000000"/>
                <w:sz w:val="20"/>
                <w:szCs w:val="20"/>
              </w:rPr>
            </w:pPr>
          </w:p>
        </w:tc>
        <w:tc>
          <w:tcPr>
            <w:tcW w:w="708" w:type="dxa"/>
            <w:vMerge w:val="continue"/>
            <w:vAlign w:val="center"/>
          </w:tcPr>
          <w:p>
            <w:pPr>
              <w:snapToGrid w:val="0"/>
              <w:spacing w:line="240" w:lineRule="auto"/>
              <w:jc w:val="center"/>
              <w:rPr>
                <w:color w:val="000000"/>
                <w:sz w:val="20"/>
                <w:szCs w:val="20"/>
              </w:rPr>
            </w:pPr>
          </w:p>
        </w:tc>
        <w:tc>
          <w:tcPr>
            <w:tcW w:w="1574" w:type="dxa"/>
            <w:vMerge w:val="continue"/>
            <w:vAlign w:val="center"/>
          </w:tcPr>
          <w:p>
            <w:pPr>
              <w:snapToGrid w:val="0"/>
              <w:spacing w:line="240" w:lineRule="auto"/>
              <w:jc w:val="center"/>
              <w:rPr>
                <w:color w:val="000000"/>
                <w:sz w:val="20"/>
                <w:szCs w:val="20"/>
              </w:rPr>
            </w:pPr>
          </w:p>
        </w:tc>
        <w:tc>
          <w:tcPr>
            <w:tcW w:w="694" w:type="dxa"/>
            <w:vMerge w:val="continue"/>
            <w:vAlign w:val="center"/>
          </w:tcPr>
          <w:p>
            <w:pPr>
              <w:snapToGrid w:val="0"/>
              <w:spacing w:line="240" w:lineRule="auto"/>
              <w:jc w:val="center"/>
              <w:rPr>
                <w:color w:val="000000"/>
                <w:sz w:val="20"/>
                <w:szCs w:val="20"/>
              </w:rPr>
            </w:pPr>
          </w:p>
        </w:tc>
        <w:tc>
          <w:tcPr>
            <w:tcW w:w="3842" w:type="dxa"/>
            <w:shd w:val="clear" w:color="auto" w:fill="auto"/>
            <w:vAlign w:val="center"/>
          </w:tcPr>
          <w:p>
            <w:pPr>
              <w:snapToGrid w:val="0"/>
              <w:spacing w:line="240" w:lineRule="auto"/>
              <w:jc w:val="center"/>
              <w:rPr>
                <w:color w:val="000000"/>
                <w:sz w:val="20"/>
                <w:szCs w:val="20"/>
              </w:rPr>
            </w:pPr>
            <w:r>
              <w:rPr>
                <w:rFonts w:hint="eastAsia" w:ascii="Times New Roman" w:hAnsi="Times New Roman" w:cs="仿宋"/>
                <w:sz w:val="20"/>
                <w:szCs w:val="20"/>
              </w:rPr>
              <w:t>A12</w:t>
            </w:r>
            <w:r>
              <w:rPr>
                <w:rFonts w:cs="仿宋"/>
                <w:sz w:val="20"/>
                <w:szCs w:val="20"/>
              </w:rPr>
              <w:t>立项程序规范性</w:t>
            </w:r>
          </w:p>
        </w:tc>
        <w:tc>
          <w:tcPr>
            <w:tcW w:w="709"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6" w:type="dxa"/>
            <w:vMerge w:val="continue"/>
            <w:vAlign w:val="center"/>
          </w:tcPr>
          <w:p>
            <w:pPr>
              <w:snapToGrid w:val="0"/>
              <w:spacing w:line="240" w:lineRule="auto"/>
              <w:jc w:val="center"/>
              <w:rPr>
                <w:color w:val="000000"/>
                <w:sz w:val="20"/>
                <w:szCs w:val="20"/>
              </w:rPr>
            </w:pPr>
          </w:p>
        </w:tc>
        <w:tc>
          <w:tcPr>
            <w:tcW w:w="708" w:type="dxa"/>
            <w:vMerge w:val="continue"/>
            <w:vAlign w:val="center"/>
          </w:tcPr>
          <w:p>
            <w:pPr>
              <w:snapToGrid w:val="0"/>
              <w:spacing w:line="240" w:lineRule="auto"/>
              <w:jc w:val="center"/>
              <w:rPr>
                <w:color w:val="000000"/>
                <w:sz w:val="20"/>
                <w:szCs w:val="20"/>
              </w:rPr>
            </w:pPr>
          </w:p>
        </w:tc>
        <w:tc>
          <w:tcPr>
            <w:tcW w:w="1574" w:type="dxa"/>
            <w:vMerge w:val="restart"/>
            <w:vAlign w:val="center"/>
          </w:tcPr>
          <w:p>
            <w:pPr>
              <w:snapToGrid w:val="0"/>
              <w:spacing w:line="240" w:lineRule="auto"/>
              <w:jc w:val="center"/>
              <w:rPr>
                <w:color w:val="000000"/>
                <w:sz w:val="20"/>
                <w:szCs w:val="20"/>
              </w:rPr>
            </w:pPr>
            <w:r>
              <w:rPr>
                <w:rFonts w:hint="eastAsia" w:ascii="Times New Roman" w:hAnsi="Times New Roman" w:cs="仿宋"/>
                <w:sz w:val="20"/>
                <w:szCs w:val="20"/>
              </w:rPr>
              <w:t>A2</w:t>
            </w:r>
            <w:r>
              <w:rPr>
                <w:rFonts w:hint="eastAsia" w:cs="仿宋"/>
                <w:sz w:val="20"/>
                <w:szCs w:val="20"/>
              </w:rPr>
              <w:t>绩效目标</w:t>
            </w:r>
          </w:p>
        </w:tc>
        <w:tc>
          <w:tcPr>
            <w:tcW w:w="694" w:type="dxa"/>
            <w:vMerge w:val="restart"/>
            <w:vAlign w:val="center"/>
          </w:tcPr>
          <w:p>
            <w:pPr>
              <w:snapToGrid w:val="0"/>
              <w:spacing w:line="240" w:lineRule="auto"/>
              <w:jc w:val="center"/>
              <w:rPr>
                <w:color w:val="000000"/>
                <w:sz w:val="20"/>
                <w:szCs w:val="20"/>
              </w:rPr>
            </w:pPr>
            <w:r>
              <w:rPr>
                <w:rFonts w:hint="eastAsia" w:ascii="Times New Roman" w:hAnsi="Times New Roman" w:cs="仿宋"/>
                <w:sz w:val="20"/>
                <w:szCs w:val="20"/>
              </w:rPr>
              <w:t>4</w:t>
            </w:r>
          </w:p>
        </w:tc>
        <w:tc>
          <w:tcPr>
            <w:tcW w:w="3842" w:type="dxa"/>
            <w:shd w:val="clear" w:color="auto" w:fill="auto"/>
            <w:vAlign w:val="center"/>
          </w:tcPr>
          <w:p>
            <w:pPr>
              <w:snapToGrid w:val="0"/>
              <w:spacing w:line="240" w:lineRule="auto"/>
              <w:jc w:val="center"/>
              <w:rPr>
                <w:color w:val="000000"/>
                <w:sz w:val="20"/>
                <w:szCs w:val="20"/>
              </w:rPr>
            </w:pPr>
            <w:r>
              <w:rPr>
                <w:rFonts w:hint="eastAsia" w:ascii="Times New Roman" w:hAnsi="Times New Roman" w:cs="仿宋"/>
                <w:sz w:val="20"/>
                <w:szCs w:val="20"/>
              </w:rPr>
              <w:t>A21</w:t>
            </w:r>
            <w:r>
              <w:rPr>
                <w:rFonts w:cs="仿宋"/>
                <w:sz w:val="20"/>
                <w:szCs w:val="20"/>
              </w:rPr>
              <w:t>绩效目标合理性</w:t>
            </w:r>
          </w:p>
        </w:tc>
        <w:tc>
          <w:tcPr>
            <w:tcW w:w="709"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6" w:type="dxa"/>
            <w:vMerge w:val="continue"/>
            <w:vAlign w:val="center"/>
          </w:tcPr>
          <w:p>
            <w:pPr>
              <w:snapToGrid w:val="0"/>
              <w:spacing w:line="240" w:lineRule="auto"/>
              <w:jc w:val="center"/>
              <w:rPr>
                <w:color w:val="000000"/>
                <w:sz w:val="20"/>
                <w:szCs w:val="20"/>
              </w:rPr>
            </w:pPr>
          </w:p>
        </w:tc>
        <w:tc>
          <w:tcPr>
            <w:tcW w:w="708" w:type="dxa"/>
            <w:vMerge w:val="continue"/>
            <w:vAlign w:val="center"/>
          </w:tcPr>
          <w:p>
            <w:pPr>
              <w:snapToGrid w:val="0"/>
              <w:spacing w:line="240" w:lineRule="auto"/>
              <w:jc w:val="center"/>
              <w:rPr>
                <w:color w:val="000000"/>
                <w:sz w:val="20"/>
                <w:szCs w:val="20"/>
              </w:rPr>
            </w:pPr>
          </w:p>
        </w:tc>
        <w:tc>
          <w:tcPr>
            <w:tcW w:w="1574" w:type="dxa"/>
            <w:vMerge w:val="continue"/>
            <w:vAlign w:val="center"/>
          </w:tcPr>
          <w:p>
            <w:pPr>
              <w:snapToGrid w:val="0"/>
              <w:spacing w:line="240" w:lineRule="auto"/>
              <w:jc w:val="center"/>
              <w:rPr>
                <w:color w:val="000000"/>
                <w:sz w:val="20"/>
                <w:szCs w:val="20"/>
              </w:rPr>
            </w:pPr>
          </w:p>
        </w:tc>
        <w:tc>
          <w:tcPr>
            <w:tcW w:w="694" w:type="dxa"/>
            <w:vMerge w:val="continue"/>
            <w:vAlign w:val="center"/>
          </w:tcPr>
          <w:p>
            <w:pPr>
              <w:snapToGrid w:val="0"/>
              <w:spacing w:line="240" w:lineRule="auto"/>
              <w:jc w:val="center"/>
              <w:rPr>
                <w:color w:val="000000"/>
                <w:sz w:val="20"/>
                <w:szCs w:val="20"/>
              </w:rPr>
            </w:pPr>
          </w:p>
        </w:tc>
        <w:tc>
          <w:tcPr>
            <w:tcW w:w="3842" w:type="dxa"/>
            <w:shd w:val="clear" w:color="auto" w:fill="auto"/>
            <w:vAlign w:val="center"/>
          </w:tcPr>
          <w:p>
            <w:pPr>
              <w:snapToGrid w:val="0"/>
              <w:spacing w:line="240" w:lineRule="auto"/>
              <w:jc w:val="center"/>
              <w:rPr>
                <w:color w:val="000000"/>
                <w:sz w:val="20"/>
                <w:szCs w:val="20"/>
              </w:rPr>
            </w:pPr>
            <w:r>
              <w:rPr>
                <w:rFonts w:hint="eastAsia" w:ascii="Times New Roman" w:hAnsi="Times New Roman" w:cs="仿宋"/>
                <w:sz w:val="20"/>
                <w:szCs w:val="20"/>
              </w:rPr>
              <w:t>A22</w:t>
            </w:r>
            <w:r>
              <w:rPr>
                <w:rFonts w:cs="仿宋"/>
                <w:sz w:val="20"/>
                <w:szCs w:val="20"/>
              </w:rPr>
              <w:t>绩效指标明确性</w:t>
            </w:r>
          </w:p>
        </w:tc>
        <w:tc>
          <w:tcPr>
            <w:tcW w:w="709"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6" w:type="dxa"/>
            <w:vMerge w:val="continue"/>
            <w:vAlign w:val="center"/>
          </w:tcPr>
          <w:p>
            <w:pPr>
              <w:snapToGrid w:val="0"/>
              <w:spacing w:line="240" w:lineRule="auto"/>
              <w:jc w:val="center"/>
              <w:rPr>
                <w:color w:val="000000"/>
                <w:sz w:val="20"/>
                <w:szCs w:val="20"/>
              </w:rPr>
            </w:pPr>
          </w:p>
        </w:tc>
        <w:tc>
          <w:tcPr>
            <w:tcW w:w="708" w:type="dxa"/>
            <w:vMerge w:val="continue"/>
            <w:vAlign w:val="center"/>
          </w:tcPr>
          <w:p>
            <w:pPr>
              <w:snapToGrid w:val="0"/>
              <w:spacing w:line="240" w:lineRule="auto"/>
              <w:jc w:val="center"/>
              <w:rPr>
                <w:color w:val="000000"/>
                <w:sz w:val="20"/>
                <w:szCs w:val="20"/>
              </w:rPr>
            </w:pPr>
          </w:p>
        </w:tc>
        <w:tc>
          <w:tcPr>
            <w:tcW w:w="1574" w:type="dxa"/>
            <w:vMerge w:val="restart"/>
            <w:vAlign w:val="center"/>
          </w:tcPr>
          <w:p>
            <w:pPr>
              <w:snapToGrid w:val="0"/>
              <w:spacing w:line="240" w:lineRule="auto"/>
              <w:jc w:val="center"/>
              <w:rPr>
                <w:color w:val="000000"/>
                <w:sz w:val="20"/>
                <w:szCs w:val="20"/>
              </w:rPr>
            </w:pPr>
            <w:r>
              <w:rPr>
                <w:rFonts w:hint="eastAsia" w:ascii="Times New Roman" w:hAnsi="Times New Roman" w:cs="仿宋"/>
                <w:sz w:val="20"/>
                <w:szCs w:val="20"/>
              </w:rPr>
              <w:t>A3</w:t>
            </w:r>
            <w:r>
              <w:rPr>
                <w:rFonts w:hint="eastAsia" w:cs="仿宋"/>
                <w:sz w:val="20"/>
                <w:szCs w:val="20"/>
              </w:rPr>
              <w:t>资金投入</w:t>
            </w:r>
          </w:p>
        </w:tc>
        <w:tc>
          <w:tcPr>
            <w:tcW w:w="694" w:type="dxa"/>
            <w:vMerge w:val="restart"/>
            <w:vAlign w:val="center"/>
          </w:tcPr>
          <w:p>
            <w:pPr>
              <w:snapToGrid w:val="0"/>
              <w:spacing w:line="240" w:lineRule="auto"/>
              <w:jc w:val="center"/>
              <w:rPr>
                <w:color w:val="000000"/>
                <w:sz w:val="20"/>
                <w:szCs w:val="20"/>
              </w:rPr>
            </w:pPr>
            <w:r>
              <w:rPr>
                <w:rFonts w:hint="eastAsia" w:ascii="Times New Roman" w:hAnsi="Times New Roman" w:cs="仿宋"/>
                <w:sz w:val="20"/>
                <w:szCs w:val="20"/>
              </w:rPr>
              <w:t>6</w:t>
            </w:r>
          </w:p>
        </w:tc>
        <w:tc>
          <w:tcPr>
            <w:tcW w:w="3842" w:type="dxa"/>
            <w:shd w:val="clear" w:color="auto" w:fill="auto"/>
            <w:vAlign w:val="center"/>
          </w:tcPr>
          <w:p>
            <w:pPr>
              <w:snapToGrid w:val="0"/>
              <w:spacing w:line="240" w:lineRule="auto"/>
              <w:jc w:val="center"/>
              <w:rPr>
                <w:color w:val="000000"/>
                <w:sz w:val="20"/>
                <w:szCs w:val="20"/>
              </w:rPr>
            </w:pPr>
            <w:r>
              <w:rPr>
                <w:rFonts w:hint="eastAsia" w:ascii="Times New Roman" w:hAnsi="Times New Roman" w:cs="仿宋"/>
                <w:sz w:val="20"/>
                <w:szCs w:val="20"/>
              </w:rPr>
              <w:t>A31</w:t>
            </w:r>
            <w:r>
              <w:rPr>
                <w:rFonts w:cs="仿宋"/>
                <w:sz w:val="20"/>
                <w:szCs w:val="20"/>
              </w:rPr>
              <w:t>预算编制科学性</w:t>
            </w:r>
          </w:p>
        </w:tc>
        <w:tc>
          <w:tcPr>
            <w:tcW w:w="709"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6" w:type="dxa"/>
            <w:vMerge w:val="continue"/>
            <w:vAlign w:val="center"/>
          </w:tcPr>
          <w:p>
            <w:pPr>
              <w:snapToGrid w:val="0"/>
              <w:spacing w:line="240" w:lineRule="auto"/>
              <w:jc w:val="center"/>
              <w:rPr>
                <w:color w:val="000000"/>
                <w:sz w:val="20"/>
                <w:szCs w:val="20"/>
              </w:rPr>
            </w:pPr>
          </w:p>
        </w:tc>
        <w:tc>
          <w:tcPr>
            <w:tcW w:w="708" w:type="dxa"/>
            <w:vMerge w:val="continue"/>
            <w:vAlign w:val="center"/>
          </w:tcPr>
          <w:p>
            <w:pPr>
              <w:snapToGrid w:val="0"/>
              <w:spacing w:line="240" w:lineRule="auto"/>
              <w:jc w:val="center"/>
              <w:rPr>
                <w:color w:val="000000"/>
                <w:sz w:val="20"/>
                <w:szCs w:val="20"/>
              </w:rPr>
            </w:pPr>
          </w:p>
        </w:tc>
        <w:tc>
          <w:tcPr>
            <w:tcW w:w="1574" w:type="dxa"/>
            <w:vMerge w:val="continue"/>
            <w:vAlign w:val="center"/>
          </w:tcPr>
          <w:p>
            <w:pPr>
              <w:snapToGrid w:val="0"/>
              <w:spacing w:line="240" w:lineRule="auto"/>
              <w:jc w:val="center"/>
              <w:rPr>
                <w:color w:val="000000"/>
                <w:sz w:val="20"/>
                <w:szCs w:val="20"/>
              </w:rPr>
            </w:pPr>
          </w:p>
        </w:tc>
        <w:tc>
          <w:tcPr>
            <w:tcW w:w="694" w:type="dxa"/>
            <w:vMerge w:val="continue"/>
            <w:vAlign w:val="center"/>
          </w:tcPr>
          <w:p>
            <w:pPr>
              <w:snapToGrid w:val="0"/>
              <w:spacing w:line="240" w:lineRule="auto"/>
              <w:jc w:val="center"/>
              <w:rPr>
                <w:color w:val="000000"/>
                <w:sz w:val="20"/>
                <w:szCs w:val="20"/>
              </w:rPr>
            </w:pPr>
          </w:p>
        </w:tc>
        <w:tc>
          <w:tcPr>
            <w:tcW w:w="3842" w:type="dxa"/>
            <w:shd w:val="clear" w:color="auto" w:fill="auto"/>
            <w:vAlign w:val="center"/>
          </w:tcPr>
          <w:p>
            <w:pPr>
              <w:snapToGrid w:val="0"/>
              <w:spacing w:line="240" w:lineRule="auto"/>
              <w:jc w:val="center"/>
              <w:rPr>
                <w:color w:val="000000"/>
                <w:sz w:val="20"/>
                <w:szCs w:val="20"/>
              </w:rPr>
            </w:pPr>
            <w:r>
              <w:rPr>
                <w:rFonts w:hint="eastAsia" w:ascii="Times New Roman" w:hAnsi="Times New Roman" w:cs="仿宋"/>
                <w:sz w:val="20"/>
                <w:szCs w:val="20"/>
              </w:rPr>
              <w:t>A32</w:t>
            </w:r>
            <w:r>
              <w:rPr>
                <w:rFonts w:cs="仿宋"/>
                <w:sz w:val="20"/>
                <w:szCs w:val="20"/>
              </w:rPr>
              <w:t>资金分配合理性</w:t>
            </w:r>
          </w:p>
        </w:tc>
        <w:tc>
          <w:tcPr>
            <w:tcW w:w="709"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6" w:type="dxa"/>
            <w:vMerge w:val="restart"/>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B</w:t>
            </w:r>
            <w:r>
              <w:rPr>
                <w:rFonts w:hint="eastAsia" w:cs="仿宋"/>
                <w:sz w:val="20"/>
                <w:szCs w:val="20"/>
              </w:rPr>
              <w:t>过程</w:t>
            </w:r>
          </w:p>
        </w:tc>
        <w:tc>
          <w:tcPr>
            <w:tcW w:w="708" w:type="dxa"/>
            <w:vMerge w:val="restart"/>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20</w:t>
            </w:r>
          </w:p>
        </w:tc>
        <w:tc>
          <w:tcPr>
            <w:tcW w:w="1574" w:type="dxa"/>
            <w:vMerge w:val="restart"/>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B1</w:t>
            </w:r>
            <w:r>
              <w:rPr>
                <w:rFonts w:cs="仿宋"/>
                <w:sz w:val="20"/>
                <w:szCs w:val="20"/>
              </w:rPr>
              <w:t>资金管理</w:t>
            </w:r>
          </w:p>
        </w:tc>
        <w:tc>
          <w:tcPr>
            <w:tcW w:w="694" w:type="dxa"/>
            <w:vMerge w:val="restart"/>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10</w:t>
            </w:r>
          </w:p>
        </w:tc>
        <w:tc>
          <w:tcPr>
            <w:tcW w:w="3842"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B11</w:t>
            </w:r>
            <w:r>
              <w:rPr>
                <w:rFonts w:cs="仿宋"/>
                <w:sz w:val="20"/>
                <w:szCs w:val="20"/>
              </w:rPr>
              <w:t>资金到位率</w:t>
            </w:r>
          </w:p>
        </w:tc>
        <w:tc>
          <w:tcPr>
            <w:tcW w:w="709"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6" w:type="dxa"/>
            <w:vMerge w:val="continue"/>
            <w:vAlign w:val="center"/>
          </w:tcPr>
          <w:p>
            <w:pPr>
              <w:snapToGrid w:val="0"/>
              <w:spacing w:line="240" w:lineRule="auto"/>
              <w:jc w:val="center"/>
              <w:rPr>
                <w:color w:val="000000"/>
                <w:sz w:val="20"/>
                <w:szCs w:val="20"/>
              </w:rPr>
            </w:pPr>
          </w:p>
        </w:tc>
        <w:tc>
          <w:tcPr>
            <w:tcW w:w="708" w:type="dxa"/>
            <w:vMerge w:val="continue"/>
            <w:vAlign w:val="center"/>
          </w:tcPr>
          <w:p>
            <w:pPr>
              <w:snapToGrid w:val="0"/>
              <w:spacing w:line="240" w:lineRule="auto"/>
              <w:jc w:val="center"/>
              <w:rPr>
                <w:color w:val="000000"/>
                <w:sz w:val="20"/>
                <w:szCs w:val="20"/>
              </w:rPr>
            </w:pPr>
          </w:p>
        </w:tc>
        <w:tc>
          <w:tcPr>
            <w:tcW w:w="1574" w:type="dxa"/>
            <w:vMerge w:val="continue"/>
            <w:vAlign w:val="center"/>
          </w:tcPr>
          <w:p>
            <w:pPr>
              <w:snapToGrid w:val="0"/>
              <w:spacing w:line="240" w:lineRule="auto"/>
              <w:jc w:val="center"/>
              <w:rPr>
                <w:color w:val="000000"/>
                <w:sz w:val="20"/>
                <w:szCs w:val="20"/>
              </w:rPr>
            </w:pPr>
          </w:p>
        </w:tc>
        <w:tc>
          <w:tcPr>
            <w:tcW w:w="694" w:type="dxa"/>
            <w:vMerge w:val="continue"/>
            <w:vAlign w:val="center"/>
          </w:tcPr>
          <w:p>
            <w:pPr>
              <w:snapToGrid w:val="0"/>
              <w:spacing w:line="240" w:lineRule="auto"/>
              <w:jc w:val="center"/>
              <w:rPr>
                <w:color w:val="000000"/>
                <w:sz w:val="20"/>
                <w:szCs w:val="20"/>
              </w:rPr>
            </w:pPr>
          </w:p>
        </w:tc>
        <w:tc>
          <w:tcPr>
            <w:tcW w:w="3842" w:type="dxa"/>
            <w:shd w:val="clear" w:color="auto" w:fill="auto"/>
            <w:vAlign w:val="center"/>
          </w:tcPr>
          <w:p>
            <w:pPr>
              <w:snapToGrid w:val="0"/>
              <w:spacing w:line="240" w:lineRule="auto"/>
              <w:jc w:val="center"/>
              <w:rPr>
                <w:color w:val="000000"/>
                <w:sz w:val="20"/>
                <w:szCs w:val="20"/>
              </w:rPr>
            </w:pPr>
            <w:r>
              <w:rPr>
                <w:rFonts w:hint="eastAsia" w:ascii="Times New Roman" w:hAnsi="Times New Roman" w:cs="仿宋"/>
                <w:sz w:val="20"/>
                <w:szCs w:val="20"/>
              </w:rPr>
              <w:t>B12</w:t>
            </w:r>
            <w:r>
              <w:rPr>
                <w:rFonts w:cs="仿宋"/>
                <w:sz w:val="20"/>
                <w:szCs w:val="20"/>
              </w:rPr>
              <w:t>预算执行率</w:t>
            </w:r>
          </w:p>
        </w:tc>
        <w:tc>
          <w:tcPr>
            <w:tcW w:w="709"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6" w:type="dxa"/>
            <w:vMerge w:val="continue"/>
            <w:vAlign w:val="center"/>
          </w:tcPr>
          <w:p>
            <w:pPr>
              <w:snapToGrid w:val="0"/>
              <w:spacing w:line="240" w:lineRule="auto"/>
              <w:jc w:val="center"/>
              <w:rPr>
                <w:color w:val="000000"/>
                <w:sz w:val="20"/>
                <w:szCs w:val="20"/>
              </w:rPr>
            </w:pPr>
          </w:p>
        </w:tc>
        <w:tc>
          <w:tcPr>
            <w:tcW w:w="708" w:type="dxa"/>
            <w:vMerge w:val="continue"/>
            <w:vAlign w:val="center"/>
          </w:tcPr>
          <w:p>
            <w:pPr>
              <w:snapToGrid w:val="0"/>
              <w:spacing w:line="240" w:lineRule="auto"/>
              <w:jc w:val="center"/>
              <w:rPr>
                <w:color w:val="000000"/>
                <w:sz w:val="20"/>
                <w:szCs w:val="20"/>
              </w:rPr>
            </w:pPr>
          </w:p>
        </w:tc>
        <w:tc>
          <w:tcPr>
            <w:tcW w:w="1574" w:type="dxa"/>
            <w:vMerge w:val="continue"/>
            <w:vAlign w:val="center"/>
          </w:tcPr>
          <w:p>
            <w:pPr>
              <w:snapToGrid w:val="0"/>
              <w:spacing w:line="240" w:lineRule="auto"/>
              <w:jc w:val="center"/>
              <w:rPr>
                <w:color w:val="000000"/>
                <w:sz w:val="20"/>
                <w:szCs w:val="20"/>
              </w:rPr>
            </w:pPr>
          </w:p>
        </w:tc>
        <w:tc>
          <w:tcPr>
            <w:tcW w:w="694" w:type="dxa"/>
            <w:vMerge w:val="continue"/>
            <w:vAlign w:val="center"/>
          </w:tcPr>
          <w:p>
            <w:pPr>
              <w:snapToGrid w:val="0"/>
              <w:spacing w:line="240" w:lineRule="auto"/>
              <w:jc w:val="center"/>
              <w:rPr>
                <w:color w:val="000000"/>
                <w:sz w:val="20"/>
                <w:szCs w:val="20"/>
              </w:rPr>
            </w:pPr>
          </w:p>
        </w:tc>
        <w:tc>
          <w:tcPr>
            <w:tcW w:w="3842" w:type="dxa"/>
            <w:shd w:val="clear" w:color="auto" w:fill="auto"/>
            <w:vAlign w:val="center"/>
          </w:tcPr>
          <w:p>
            <w:pPr>
              <w:snapToGrid w:val="0"/>
              <w:spacing w:line="240" w:lineRule="auto"/>
              <w:jc w:val="center"/>
              <w:rPr>
                <w:color w:val="000000"/>
                <w:sz w:val="20"/>
                <w:szCs w:val="20"/>
              </w:rPr>
            </w:pPr>
            <w:r>
              <w:rPr>
                <w:rFonts w:hint="eastAsia" w:ascii="Times New Roman" w:hAnsi="Times New Roman" w:cs="仿宋"/>
                <w:sz w:val="20"/>
                <w:szCs w:val="20"/>
              </w:rPr>
              <w:t>B13</w:t>
            </w:r>
            <w:r>
              <w:rPr>
                <w:rFonts w:cs="仿宋"/>
                <w:sz w:val="20"/>
                <w:szCs w:val="20"/>
              </w:rPr>
              <w:t>资金使用合规性</w:t>
            </w:r>
          </w:p>
        </w:tc>
        <w:tc>
          <w:tcPr>
            <w:tcW w:w="709"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6" w:type="dxa"/>
            <w:vMerge w:val="continue"/>
            <w:vAlign w:val="center"/>
          </w:tcPr>
          <w:p>
            <w:pPr>
              <w:snapToGrid w:val="0"/>
              <w:spacing w:line="240" w:lineRule="auto"/>
              <w:jc w:val="center"/>
              <w:rPr>
                <w:color w:val="000000"/>
                <w:sz w:val="20"/>
                <w:szCs w:val="20"/>
              </w:rPr>
            </w:pPr>
          </w:p>
        </w:tc>
        <w:tc>
          <w:tcPr>
            <w:tcW w:w="708" w:type="dxa"/>
            <w:vMerge w:val="continue"/>
            <w:vAlign w:val="center"/>
          </w:tcPr>
          <w:p>
            <w:pPr>
              <w:snapToGrid w:val="0"/>
              <w:spacing w:line="240" w:lineRule="auto"/>
              <w:jc w:val="center"/>
              <w:rPr>
                <w:color w:val="000000"/>
                <w:sz w:val="20"/>
                <w:szCs w:val="20"/>
              </w:rPr>
            </w:pPr>
          </w:p>
        </w:tc>
        <w:tc>
          <w:tcPr>
            <w:tcW w:w="1574" w:type="dxa"/>
            <w:vMerge w:val="restart"/>
            <w:shd w:val="clear" w:color="auto" w:fill="auto"/>
            <w:vAlign w:val="center"/>
          </w:tcPr>
          <w:p>
            <w:pPr>
              <w:snapToGrid w:val="0"/>
              <w:spacing w:line="240" w:lineRule="auto"/>
              <w:jc w:val="center"/>
              <w:rPr>
                <w:color w:val="000000"/>
                <w:sz w:val="20"/>
                <w:szCs w:val="20"/>
              </w:rPr>
            </w:pPr>
            <w:r>
              <w:rPr>
                <w:rFonts w:hint="eastAsia" w:ascii="Times New Roman" w:hAnsi="Times New Roman" w:cs="仿宋"/>
                <w:sz w:val="20"/>
                <w:szCs w:val="20"/>
              </w:rPr>
              <w:t>B2</w:t>
            </w:r>
            <w:r>
              <w:rPr>
                <w:rFonts w:cs="仿宋"/>
                <w:sz w:val="20"/>
                <w:szCs w:val="20"/>
              </w:rPr>
              <w:t>组织实施</w:t>
            </w:r>
          </w:p>
        </w:tc>
        <w:tc>
          <w:tcPr>
            <w:tcW w:w="694" w:type="dxa"/>
            <w:vMerge w:val="restart"/>
            <w:vAlign w:val="center"/>
          </w:tcPr>
          <w:p>
            <w:pPr>
              <w:snapToGrid w:val="0"/>
              <w:spacing w:line="240" w:lineRule="auto"/>
              <w:jc w:val="center"/>
              <w:rPr>
                <w:color w:val="000000"/>
                <w:sz w:val="20"/>
                <w:szCs w:val="20"/>
              </w:rPr>
            </w:pPr>
            <w:r>
              <w:rPr>
                <w:rFonts w:hint="eastAsia" w:ascii="Times New Roman" w:hAnsi="Times New Roman" w:cs="仿宋"/>
                <w:sz w:val="20"/>
                <w:szCs w:val="20"/>
              </w:rPr>
              <w:t>10</w:t>
            </w:r>
          </w:p>
        </w:tc>
        <w:tc>
          <w:tcPr>
            <w:tcW w:w="3842" w:type="dxa"/>
            <w:shd w:val="clear" w:color="auto" w:fill="auto"/>
            <w:vAlign w:val="center"/>
          </w:tcPr>
          <w:p>
            <w:pPr>
              <w:snapToGrid w:val="0"/>
              <w:spacing w:line="240" w:lineRule="auto"/>
              <w:jc w:val="center"/>
              <w:rPr>
                <w:color w:val="000000"/>
                <w:sz w:val="20"/>
                <w:szCs w:val="20"/>
              </w:rPr>
            </w:pPr>
            <w:r>
              <w:rPr>
                <w:rFonts w:hint="eastAsia" w:ascii="Times New Roman" w:hAnsi="Times New Roman" w:cs="仿宋"/>
                <w:sz w:val="20"/>
                <w:szCs w:val="20"/>
              </w:rPr>
              <w:t>B21</w:t>
            </w:r>
            <w:r>
              <w:rPr>
                <w:rFonts w:cs="仿宋"/>
                <w:sz w:val="20"/>
                <w:szCs w:val="20"/>
              </w:rPr>
              <w:t>管理制度健全性</w:t>
            </w:r>
          </w:p>
        </w:tc>
        <w:tc>
          <w:tcPr>
            <w:tcW w:w="709"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6" w:type="dxa"/>
            <w:vMerge w:val="continue"/>
            <w:vAlign w:val="center"/>
          </w:tcPr>
          <w:p>
            <w:pPr>
              <w:snapToGrid w:val="0"/>
              <w:spacing w:line="240" w:lineRule="auto"/>
              <w:jc w:val="center"/>
              <w:rPr>
                <w:color w:val="000000"/>
                <w:sz w:val="20"/>
                <w:szCs w:val="20"/>
              </w:rPr>
            </w:pPr>
          </w:p>
        </w:tc>
        <w:tc>
          <w:tcPr>
            <w:tcW w:w="708" w:type="dxa"/>
            <w:vMerge w:val="continue"/>
            <w:vAlign w:val="center"/>
          </w:tcPr>
          <w:p>
            <w:pPr>
              <w:snapToGrid w:val="0"/>
              <w:spacing w:line="240" w:lineRule="auto"/>
              <w:jc w:val="center"/>
              <w:rPr>
                <w:color w:val="000000"/>
                <w:sz w:val="20"/>
                <w:szCs w:val="20"/>
              </w:rPr>
            </w:pPr>
          </w:p>
        </w:tc>
        <w:tc>
          <w:tcPr>
            <w:tcW w:w="1574" w:type="dxa"/>
            <w:vMerge w:val="continue"/>
            <w:vAlign w:val="center"/>
          </w:tcPr>
          <w:p>
            <w:pPr>
              <w:snapToGrid w:val="0"/>
              <w:spacing w:line="240" w:lineRule="auto"/>
              <w:jc w:val="center"/>
              <w:rPr>
                <w:color w:val="000000"/>
                <w:sz w:val="20"/>
                <w:szCs w:val="20"/>
              </w:rPr>
            </w:pPr>
          </w:p>
        </w:tc>
        <w:tc>
          <w:tcPr>
            <w:tcW w:w="694" w:type="dxa"/>
            <w:vMerge w:val="continue"/>
            <w:vAlign w:val="center"/>
          </w:tcPr>
          <w:p>
            <w:pPr>
              <w:snapToGrid w:val="0"/>
              <w:spacing w:line="240" w:lineRule="auto"/>
              <w:jc w:val="center"/>
              <w:rPr>
                <w:color w:val="000000"/>
                <w:sz w:val="20"/>
                <w:szCs w:val="20"/>
              </w:rPr>
            </w:pPr>
          </w:p>
        </w:tc>
        <w:tc>
          <w:tcPr>
            <w:tcW w:w="3842" w:type="dxa"/>
            <w:shd w:val="clear" w:color="auto" w:fill="auto"/>
            <w:vAlign w:val="center"/>
          </w:tcPr>
          <w:p>
            <w:pPr>
              <w:snapToGrid w:val="0"/>
              <w:spacing w:line="240" w:lineRule="auto"/>
              <w:jc w:val="center"/>
              <w:rPr>
                <w:color w:val="000000"/>
                <w:sz w:val="20"/>
                <w:szCs w:val="20"/>
              </w:rPr>
            </w:pPr>
            <w:r>
              <w:rPr>
                <w:rFonts w:hint="eastAsia" w:ascii="Times New Roman" w:hAnsi="Times New Roman" w:cs="仿宋"/>
                <w:sz w:val="20"/>
                <w:szCs w:val="20"/>
              </w:rPr>
              <w:t>B22</w:t>
            </w:r>
            <w:r>
              <w:rPr>
                <w:rFonts w:cs="仿宋"/>
                <w:sz w:val="20"/>
                <w:szCs w:val="20"/>
              </w:rPr>
              <w:t>制度执行有效性</w:t>
            </w:r>
          </w:p>
        </w:tc>
        <w:tc>
          <w:tcPr>
            <w:tcW w:w="709"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6" w:type="dxa"/>
            <w:vMerge w:val="continue"/>
            <w:vAlign w:val="center"/>
          </w:tcPr>
          <w:p>
            <w:pPr>
              <w:snapToGrid w:val="0"/>
              <w:spacing w:line="240" w:lineRule="auto"/>
              <w:jc w:val="center"/>
              <w:rPr>
                <w:color w:val="000000"/>
                <w:sz w:val="20"/>
                <w:szCs w:val="20"/>
              </w:rPr>
            </w:pPr>
          </w:p>
        </w:tc>
        <w:tc>
          <w:tcPr>
            <w:tcW w:w="708" w:type="dxa"/>
            <w:vMerge w:val="continue"/>
            <w:vAlign w:val="center"/>
          </w:tcPr>
          <w:p>
            <w:pPr>
              <w:snapToGrid w:val="0"/>
              <w:spacing w:line="240" w:lineRule="auto"/>
              <w:jc w:val="center"/>
              <w:rPr>
                <w:color w:val="000000"/>
                <w:sz w:val="20"/>
                <w:szCs w:val="20"/>
              </w:rPr>
            </w:pPr>
          </w:p>
        </w:tc>
        <w:tc>
          <w:tcPr>
            <w:tcW w:w="1574" w:type="dxa"/>
            <w:vMerge w:val="continue"/>
            <w:vAlign w:val="center"/>
          </w:tcPr>
          <w:p>
            <w:pPr>
              <w:snapToGrid w:val="0"/>
              <w:spacing w:line="240" w:lineRule="auto"/>
              <w:jc w:val="center"/>
              <w:rPr>
                <w:color w:val="000000"/>
                <w:sz w:val="20"/>
                <w:szCs w:val="20"/>
              </w:rPr>
            </w:pPr>
          </w:p>
        </w:tc>
        <w:tc>
          <w:tcPr>
            <w:tcW w:w="694" w:type="dxa"/>
            <w:vMerge w:val="continue"/>
            <w:vAlign w:val="center"/>
          </w:tcPr>
          <w:p>
            <w:pPr>
              <w:snapToGrid w:val="0"/>
              <w:spacing w:line="240" w:lineRule="auto"/>
              <w:jc w:val="center"/>
              <w:rPr>
                <w:color w:val="000000"/>
                <w:sz w:val="20"/>
                <w:szCs w:val="20"/>
              </w:rPr>
            </w:pPr>
          </w:p>
        </w:tc>
        <w:tc>
          <w:tcPr>
            <w:tcW w:w="3842" w:type="dxa"/>
            <w:shd w:val="clear" w:color="auto" w:fill="auto"/>
            <w:vAlign w:val="center"/>
          </w:tcPr>
          <w:p>
            <w:pPr>
              <w:snapToGrid w:val="0"/>
              <w:spacing w:line="240" w:lineRule="auto"/>
              <w:jc w:val="center"/>
              <w:rPr>
                <w:rFonts w:cs="仿宋"/>
                <w:sz w:val="20"/>
                <w:szCs w:val="20"/>
              </w:rPr>
            </w:pPr>
            <w:r>
              <w:rPr>
                <w:rFonts w:hint="eastAsia" w:ascii="Times New Roman" w:hAnsi="Times New Roman" w:cs="仿宋"/>
                <w:sz w:val="20"/>
                <w:szCs w:val="20"/>
              </w:rPr>
              <w:t>B23</w:t>
            </w:r>
            <w:r>
              <w:rPr>
                <w:rFonts w:hint="eastAsia" w:cs="仿宋"/>
                <w:sz w:val="20"/>
                <w:szCs w:val="20"/>
              </w:rPr>
              <w:t>项目监控规范性</w:t>
            </w:r>
          </w:p>
        </w:tc>
        <w:tc>
          <w:tcPr>
            <w:tcW w:w="709"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1056" w:type="dxa"/>
            <w:vMerge w:val="restart"/>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C</w:t>
            </w:r>
            <w:r>
              <w:rPr>
                <w:rFonts w:hint="eastAsia" w:cs="仿宋"/>
                <w:sz w:val="20"/>
                <w:szCs w:val="20"/>
              </w:rPr>
              <w:t>产出</w:t>
            </w:r>
          </w:p>
        </w:tc>
        <w:tc>
          <w:tcPr>
            <w:tcW w:w="708" w:type="dxa"/>
            <w:vMerge w:val="restart"/>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30</w:t>
            </w:r>
          </w:p>
        </w:tc>
        <w:tc>
          <w:tcPr>
            <w:tcW w:w="1574" w:type="dxa"/>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C</w:t>
            </w:r>
            <w:r>
              <w:rPr>
                <w:rFonts w:hint="eastAsia" w:ascii="Times New Roman" w:hAnsi="Times New Roman" w:cs="仿宋"/>
                <w:sz w:val="20"/>
                <w:szCs w:val="20"/>
              </w:rPr>
              <w:t>1</w:t>
            </w:r>
            <w:r>
              <w:rPr>
                <w:rFonts w:hint="eastAsia" w:cs="仿宋"/>
                <w:sz w:val="20"/>
                <w:szCs w:val="20"/>
              </w:rPr>
              <w:t>产出数量</w:t>
            </w:r>
          </w:p>
        </w:tc>
        <w:tc>
          <w:tcPr>
            <w:tcW w:w="694" w:type="dxa"/>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8</w:t>
            </w:r>
          </w:p>
        </w:tc>
        <w:tc>
          <w:tcPr>
            <w:tcW w:w="3842" w:type="dxa"/>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C</w:t>
            </w:r>
            <w:r>
              <w:rPr>
                <w:rFonts w:hint="eastAsia" w:ascii="Times New Roman" w:hAnsi="Times New Roman" w:cs="仿宋"/>
                <w:sz w:val="20"/>
                <w:szCs w:val="20"/>
              </w:rPr>
              <w:t>11</w:t>
            </w:r>
            <w:r>
              <w:rPr>
                <w:rFonts w:hint="eastAsia" w:cs="仿宋"/>
                <w:sz w:val="20"/>
                <w:szCs w:val="20"/>
              </w:rPr>
              <w:t>工程建设</w:t>
            </w:r>
            <w:r>
              <w:rPr>
                <w:rFonts w:cs="仿宋"/>
                <w:sz w:val="20"/>
                <w:szCs w:val="20"/>
              </w:rPr>
              <w:t>完成率</w:t>
            </w:r>
          </w:p>
        </w:tc>
        <w:tc>
          <w:tcPr>
            <w:tcW w:w="709"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56" w:type="dxa"/>
            <w:vMerge w:val="continue"/>
            <w:shd w:val="clear" w:color="auto" w:fill="auto"/>
            <w:vAlign w:val="center"/>
          </w:tcPr>
          <w:p>
            <w:pPr>
              <w:widowControl w:val="0"/>
              <w:snapToGrid w:val="0"/>
              <w:spacing w:line="240" w:lineRule="auto"/>
              <w:jc w:val="center"/>
              <w:rPr>
                <w:rFonts w:cs="仿宋"/>
                <w:sz w:val="20"/>
                <w:szCs w:val="20"/>
              </w:rPr>
            </w:pPr>
          </w:p>
        </w:tc>
        <w:tc>
          <w:tcPr>
            <w:tcW w:w="708" w:type="dxa"/>
            <w:vMerge w:val="continue"/>
            <w:vAlign w:val="center"/>
          </w:tcPr>
          <w:p>
            <w:pPr>
              <w:widowControl w:val="0"/>
              <w:snapToGrid w:val="0"/>
              <w:spacing w:line="240" w:lineRule="auto"/>
              <w:jc w:val="center"/>
              <w:rPr>
                <w:rFonts w:cs="仿宋"/>
                <w:sz w:val="20"/>
                <w:szCs w:val="20"/>
              </w:rPr>
            </w:pPr>
          </w:p>
        </w:tc>
        <w:tc>
          <w:tcPr>
            <w:tcW w:w="1574" w:type="dxa"/>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C</w:t>
            </w:r>
            <w:r>
              <w:rPr>
                <w:rFonts w:hint="eastAsia" w:ascii="Times New Roman" w:hAnsi="Times New Roman" w:cs="仿宋"/>
                <w:sz w:val="20"/>
                <w:szCs w:val="20"/>
              </w:rPr>
              <w:t>2</w:t>
            </w:r>
            <w:r>
              <w:rPr>
                <w:rFonts w:hint="eastAsia" w:cs="仿宋"/>
                <w:sz w:val="20"/>
                <w:szCs w:val="20"/>
              </w:rPr>
              <w:t>产出质量</w:t>
            </w:r>
          </w:p>
        </w:tc>
        <w:tc>
          <w:tcPr>
            <w:tcW w:w="694" w:type="dxa"/>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7</w:t>
            </w:r>
          </w:p>
        </w:tc>
        <w:tc>
          <w:tcPr>
            <w:tcW w:w="3842" w:type="dxa"/>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C</w:t>
            </w:r>
            <w:r>
              <w:rPr>
                <w:rFonts w:hint="eastAsia" w:ascii="Times New Roman" w:hAnsi="Times New Roman" w:cs="仿宋"/>
                <w:sz w:val="20"/>
                <w:szCs w:val="20"/>
              </w:rPr>
              <w:t>21</w:t>
            </w:r>
            <w:r>
              <w:rPr>
                <w:rFonts w:hint="eastAsia" w:cs="仿宋"/>
                <w:sz w:val="20"/>
                <w:szCs w:val="20"/>
              </w:rPr>
              <w:t>工程验收合格率</w:t>
            </w:r>
          </w:p>
        </w:tc>
        <w:tc>
          <w:tcPr>
            <w:tcW w:w="709"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56" w:type="dxa"/>
            <w:vMerge w:val="continue"/>
            <w:shd w:val="clear" w:color="auto" w:fill="auto"/>
            <w:vAlign w:val="center"/>
          </w:tcPr>
          <w:p>
            <w:pPr>
              <w:widowControl w:val="0"/>
              <w:snapToGrid w:val="0"/>
              <w:spacing w:line="240" w:lineRule="auto"/>
              <w:jc w:val="center"/>
              <w:rPr>
                <w:rFonts w:cs="仿宋"/>
                <w:sz w:val="20"/>
                <w:szCs w:val="20"/>
              </w:rPr>
            </w:pPr>
          </w:p>
        </w:tc>
        <w:tc>
          <w:tcPr>
            <w:tcW w:w="708" w:type="dxa"/>
            <w:vMerge w:val="continue"/>
            <w:vAlign w:val="center"/>
          </w:tcPr>
          <w:p>
            <w:pPr>
              <w:widowControl w:val="0"/>
              <w:snapToGrid w:val="0"/>
              <w:spacing w:line="240" w:lineRule="auto"/>
              <w:jc w:val="center"/>
              <w:rPr>
                <w:rFonts w:cs="仿宋"/>
                <w:sz w:val="20"/>
                <w:szCs w:val="20"/>
              </w:rPr>
            </w:pPr>
          </w:p>
        </w:tc>
        <w:tc>
          <w:tcPr>
            <w:tcW w:w="1574" w:type="dxa"/>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C</w:t>
            </w:r>
            <w:r>
              <w:rPr>
                <w:rFonts w:hint="eastAsia" w:ascii="Times New Roman" w:hAnsi="Times New Roman" w:cs="仿宋"/>
                <w:sz w:val="20"/>
                <w:szCs w:val="20"/>
              </w:rPr>
              <w:t>3</w:t>
            </w:r>
            <w:r>
              <w:rPr>
                <w:rFonts w:hint="eastAsia" w:cs="仿宋"/>
                <w:sz w:val="20"/>
                <w:szCs w:val="20"/>
              </w:rPr>
              <w:t>产出时效</w:t>
            </w:r>
          </w:p>
        </w:tc>
        <w:tc>
          <w:tcPr>
            <w:tcW w:w="694" w:type="dxa"/>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6</w:t>
            </w:r>
          </w:p>
        </w:tc>
        <w:tc>
          <w:tcPr>
            <w:tcW w:w="3842" w:type="dxa"/>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C</w:t>
            </w:r>
            <w:r>
              <w:rPr>
                <w:rFonts w:hint="eastAsia" w:ascii="Times New Roman" w:hAnsi="Times New Roman" w:cs="仿宋"/>
                <w:sz w:val="20"/>
                <w:szCs w:val="20"/>
              </w:rPr>
              <w:t>31</w:t>
            </w:r>
            <w:r>
              <w:rPr>
                <w:rFonts w:hint="eastAsia" w:cs="仿宋"/>
                <w:sz w:val="20"/>
                <w:szCs w:val="20"/>
              </w:rPr>
              <w:t>完成及时率</w:t>
            </w:r>
          </w:p>
        </w:tc>
        <w:tc>
          <w:tcPr>
            <w:tcW w:w="709"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56" w:type="dxa"/>
            <w:vMerge w:val="continue"/>
            <w:shd w:val="clear" w:color="auto" w:fill="auto"/>
            <w:vAlign w:val="center"/>
          </w:tcPr>
          <w:p>
            <w:pPr>
              <w:widowControl w:val="0"/>
              <w:snapToGrid w:val="0"/>
              <w:spacing w:line="240" w:lineRule="auto"/>
              <w:jc w:val="center"/>
              <w:rPr>
                <w:rFonts w:cs="仿宋"/>
                <w:sz w:val="20"/>
                <w:szCs w:val="20"/>
              </w:rPr>
            </w:pPr>
          </w:p>
        </w:tc>
        <w:tc>
          <w:tcPr>
            <w:tcW w:w="708" w:type="dxa"/>
            <w:vMerge w:val="continue"/>
          </w:tcPr>
          <w:p>
            <w:pPr>
              <w:widowControl w:val="0"/>
              <w:snapToGrid w:val="0"/>
              <w:spacing w:line="240" w:lineRule="auto"/>
              <w:jc w:val="center"/>
              <w:rPr>
                <w:rFonts w:cs="仿宋"/>
                <w:sz w:val="20"/>
                <w:szCs w:val="20"/>
              </w:rPr>
            </w:pPr>
          </w:p>
        </w:tc>
        <w:tc>
          <w:tcPr>
            <w:tcW w:w="1574" w:type="dxa"/>
            <w:vMerge w:val="restart"/>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C</w:t>
            </w:r>
            <w:r>
              <w:rPr>
                <w:rFonts w:hint="eastAsia" w:ascii="Times New Roman" w:hAnsi="Times New Roman" w:cs="仿宋"/>
                <w:sz w:val="20"/>
                <w:szCs w:val="20"/>
              </w:rPr>
              <w:t>4</w:t>
            </w:r>
            <w:r>
              <w:rPr>
                <w:rFonts w:hint="eastAsia" w:cs="仿宋"/>
                <w:sz w:val="20"/>
                <w:szCs w:val="20"/>
              </w:rPr>
              <w:t>产出成本</w:t>
            </w:r>
          </w:p>
        </w:tc>
        <w:tc>
          <w:tcPr>
            <w:tcW w:w="694" w:type="dxa"/>
            <w:vMerge w:val="restart"/>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9</w:t>
            </w:r>
          </w:p>
        </w:tc>
        <w:tc>
          <w:tcPr>
            <w:tcW w:w="3842" w:type="dxa"/>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C</w:t>
            </w:r>
            <w:r>
              <w:rPr>
                <w:rFonts w:hint="eastAsia" w:ascii="Times New Roman" w:hAnsi="Times New Roman" w:cs="仿宋"/>
                <w:sz w:val="20"/>
                <w:szCs w:val="20"/>
              </w:rPr>
              <w:t>41</w:t>
            </w:r>
            <w:r>
              <w:rPr>
                <w:rFonts w:hint="eastAsia" w:cs="仿宋"/>
                <w:sz w:val="20"/>
                <w:szCs w:val="20"/>
              </w:rPr>
              <w:t>道路补助标准</w:t>
            </w:r>
            <w:r>
              <w:rPr>
                <w:rFonts w:cs="仿宋"/>
                <w:sz w:val="20"/>
                <w:szCs w:val="20"/>
              </w:rPr>
              <w:t xml:space="preserve"> </w:t>
            </w:r>
          </w:p>
        </w:tc>
        <w:tc>
          <w:tcPr>
            <w:tcW w:w="709"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56" w:type="dxa"/>
            <w:vMerge w:val="continue"/>
            <w:shd w:val="clear" w:color="auto" w:fill="auto"/>
            <w:vAlign w:val="center"/>
          </w:tcPr>
          <w:p>
            <w:pPr>
              <w:widowControl w:val="0"/>
              <w:snapToGrid w:val="0"/>
              <w:spacing w:line="240" w:lineRule="auto"/>
              <w:jc w:val="center"/>
              <w:rPr>
                <w:rFonts w:cs="仿宋"/>
                <w:sz w:val="20"/>
                <w:szCs w:val="20"/>
              </w:rPr>
            </w:pPr>
          </w:p>
        </w:tc>
        <w:tc>
          <w:tcPr>
            <w:tcW w:w="708" w:type="dxa"/>
            <w:vMerge w:val="continue"/>
          </w:tcPr>
          <w:p>
            <w:pPr>
              <w:widowControl w:val="0"/>
              <w:snapToGrid w:val="0"/>
              <w:spacing w:line="240" w:lineRule="auto"/>
              <w:jc w:val="center"/>
              <w:rPr>
                <w:rFonts w:cs="仿宋"/>
                <w:sz w:val="20"/>
                <w:szCs w:val="20"/>
              </w:rPr>
            </w:pPr>
          </w:p>
        </w:tc>
        <w:tc>
          <w:tcPr>
            <w:tcW w:w="1574" w:type="dxa"/>
            <w:vMerge w:val="continue"/>
            <w:shd w:val="clear" w:color="auto" w:fill="auto"/>
            <w:vAlign w:val="center"/>
          </w:tcPr>
          <w:p>
            <w:pPr>
              <w:widowControl w:val="0"/>
              <w:snapToGrid w:val="0"/>
              <w:spacing w:line="240" w:lineRule="auto"/>
              <w:jc w:val="center"/>
              <w:rPr>
                <w:rFonts w:ascii="Times New Roman" w:hAnsi="Times New Roman" w:cs="仿宋"/>
                <w:sz w:val="20"/>
                <w:szCs w:val="20"/>
              </w:rPr>
            </w:pPr>
          </w:p>
        </w:tc>
        <w:tc>
          <w:tcPr>
            <w:tcW w:w="694" w:type="dxa"/>
            <w:vMerge w:val="continue"/>
            <w:vAlign w:val="center"/>
          </w:tcPr>
          <w:p>
            <w:pPr>
              <w:widowControl w:val="0"/>
              <w:snapToGrid w:val="0"/>
              <w:spacing w:line="240" w:lineRule="auto"/>
              <w:jc w:val="center"/>
              <w:rPr>
                <w:rFonts w:hint="eastAsia" w:ascii="Times New Roman" w:hAnsi="Times New Roman" w:cs="仿宋"/>
                <w:sz w:val="20"/>
                <w:szCs w:val="20"/>
              </w:rPr>
            </w:pPr>
          </w:p>
        </w:tc>
        <w:tc>
          <w:tcPr>
            <w:tcW w:w="3842" w:type="dxa"/>
            <w:shd w:val="clear" w:color="auto" w:fill="auto"/>
            <w:vAlign w:val="center"/>
          </w:tcPr>
          <w:p>
            <w:pPr>
              <w:widowControl w:val="0"/>
              <w:snapToGrid w:val="0"/>
              <w:spacing w:line="240" w:lineRule="auto"/>
              <w:jc w:val="center"/>
              <w:rPr>
                <w:rFonts w:ascii="Times New Roman" w:hAnsi="Times New Roman" w:cs="仿宋"/>
                <w:sz w:val="20"/>
                <w:szCs w:val="20"/>
              </w:rPr>
            </w:pPr>
            <w:r>
              <w:rPr>
                <w:rFonts w:ascii="Times New Roman" w:hAnsi="Times New Roman" w:cs="仿宋"/>
                <w:sz w:val="20"/>
                <w:szCs w:val="20"/>
              </w:rPr>
              <w:t>C</w:t>
            </w:r>
            <w:r>
              <w:rPr>
                <w:rFonts w:hint="eastAsia" w:ascii="Times New Roman" w:hAnsi="Times New Roman" w:cs="仿宋"/>
                <w:sz w:val="20"/>
                <w:szCs w:val="20"/>
              </w:rPr>
              <w:t>42</w:t>
            </w:r>
            <w:r>
              <w:rPr>
                <w:rFonts w:hint="eastAsia" w:cs="仿宋"/>
                <w:sz w:val="20"/>
                <w:szCs w:val="20"/>
              </w:rPr>
              <w:t>成本节约率</w:t>
            </w:r>
          </w:p>
        </w:tc>
        <w:tc>
          <w:tcPr>
            <w:tcW w:w="709" w:type="dxa"/>
            <w:shd w:val="clear" w:color="auto" w:fill="auto"/>
            <w:vAlign w:val="center"/>
          </w:tcPr>
          <w:p>
            <w:pPr>
              <w:widowControl w:val="0"/>
              <w:snapToGrid w:val="0"/>
              <w:spacing w:line="240" w:lineRule="auto"/>
              <w:jc w:val="center"/>
              <w:rPr>
                <w:rFonts w:hint="eastAsia" w:ascii="Times New Roman" w:hAnsi="Times New Roman" w:cs="仿宋"/>
                <w:sz w:val="20"/>
                <w:szCs w:val="20"/>
              </w:rPr>
            </w:pPr>
            <w:r>
              <w:rPr>
                <w:rFonts w:hint="eastAsia" w:ascii="Times New Roman" w:hAnsi="Times New Roman" w:cs="仿宋"/>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56" w:type="dxa"/>
            <w:vMerge w:val="restart"/>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D</w:t>
            </w:r>
            <w:r>
              <w:rPr>
                <w:rFonts w:hint="eastAsia" w:ascii="Times New Roman" w:hAnsi="Times New Roman" w:cs="仿宋"/>
                <w:sz w:val="20"/>
                <w:szCs w:val="20"/>
              </w:rPr>
              <w:t>效益</w:t>
            </w:r>
          </w:p>
        </w:tc>
        <w:tc>
          <w:tcPr>
            <w:tcW w:w="708" w:type="dxa"/>
            <w:vMerge w:val="restart"/>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30</w:t>
            </w:r>
          </w:p>
        </w:tc>
        <w:tc>
          <w:tcPr>
            <w:tcW w:w="1574" w:type="dxa"/>
            <w:shd w:val="clear" w:color="auto" w:fill="auto"/>
            <w:vAlign w:val="center"/>
          </w:tcPr>
          <w:p>
            <w:pPr>
              <w:widowControl w:val="0"/>
              <w:snapToGrid w:val="0"/>
              <w:spacing w:line="240" w:lineRule="auto"/>
              <w:jc w:val="center"/>
              <w:rPr>
                <w:rFonts w:ascii="Times New Roman" w:hAnsi="Times New Roman" w:cs="仿宋"/>
                <w:sz w:val="20"/>
                <w:szCs w:val="20"/>
              </w:rPr>
            </w:pPr>
            <w:r>
              <w:rPr>
                <w:rFonts w:ascii="Times New Roman" w:hAnsi="Times New Roman" w:cs="仿宋"/>
                <w:sz w:val="20"/>
                <w:szCs w:val="20"/>
              </w:rPr>
              <w:t>D</w:t>
            </w:r>
            <w:r>
              <w:rPr>
                <w:rFonts w:hint="eastAsia" w:ascii="Times New Roman" w:hAnsi="Times New Roman" w:cs="仿宋"/>
                <w:sz w:val="20"/>
                <w:szCs w:val="20"/>
              </w:rPr>
              <w:t>1经济效益</w:t>
            </w:r>
          </w:p>
        </w:tc>
        <w:tc>
          <w:tcPr>
            <w:tcW w:w="694" w:type="dxa"/>
            <w:vAlign w:val="center"/>
          </w:tcPr>
          <w:p>
            <w:pPr>
              <w:widowControl w:val="0"/>
              <w:snapToGrid w:val="0"/>
              <w:spacing w:line="240" w:lineRule="auto"/>
              <w:jc w:val="center"/>
              <w:rPr>
                <w:rFonts w:ascii="Times New Roman" w:hAnsi="Times New Roman" w:cs="仿宋"/>
                <w:sz w:val="20"/>
                <w:szCs w:val="20"/>
              </w:rPr>
            </w:pPr>
            <w:r>
              <w:rPr>
                <w:rFonts w:hint="eastAsia" w:ascii="Times New Roman" w:hAnsi="Times New Roman" w:cs="仿宋"/>
                <w:sz w:val="20"/>
                <w:szCs w:val="20"/>
              </w:rPr>
              <w:t>5</w:t>
            </w:r>
          </w:p>
        </w:tc>
        <w:tc>
          <w:tcPr>
            <w:tcW w:w="3842" w:type="dxa"/>
            <w:shd w:val="clear" w:color="auto" w:fill="auto"/>
            <w:vAlign w:val="center"/>
          </w:tcPr>
          <w:p>
            <w:pPr>
              <w:widowControl w:val="0"/>
              <w:snapToGrid w:val="0"/>
              <w:spacing w:line="240" w:lineRule="auto"/>
              <w:jc w:val="center"/>
              <w:rPr>
                <w:rFonts w:ascii="Times New Roman" w:hAnsi="Times New Roman" w:cs="仿宋"/>
                <w:sz w:val="20"/>
                <w:szCs w:val="20"/>
              </w:rPr>
            </w:pPr>
            <w:r>
              <w:rPr>
                <w:rFonts w:ascii="Times New Roman" w:hAnsi="Times New Roman" w:cs="仿宋"/>
                <w:sz w:val="20"/>
                <w:szCs w:val="20"/>
              </w:rPr>
              <w:t>D11</w:t>
            </w:r>
            <w:r>
              <w:rPr>
                <w:rFonts w:hint="eastAsia" w:cs="仿宋_GB2312"/>
                <w:bCs/>
                <w:sz w:val="20"/>
                <w:szCs w:val="20"/>
              </w:rPr>
              <w:t>带动地方经济发展</w:t>
            </w:r>
          </w:p>
        </w:tc>
        <w:tc>
          <w:tcPr>
            <w:tcW w:w="709" w:type="dxa"/>
            <w:shd w:val="clear" w:color="auto" w:fill="auto"/>
            <w:vAlign w:val="center"/>
          </w:tcPr>
          <w:p>
            <w:pPr>
              <w:widowControl w:val="0"/>
              <w:snapToGrid w:val="0"/>
              <w:spacing w:line="240" w:lineRule="auto"/>
              <w:jc w:val="center"/>
              <w:rPr>
                <w:rFonts w:ascii="Times New Roman" w:hAnsi="Times New Roman" w:cs="仿宋"/>
                <w:sz w:val="20"/>
                <w:szCs w:val="20"/>
              </w:rPr>
            </w:pPr>
            <w:r>
              <w:rPr>
                <w:rFonts w:hint="eastAsia" w:ascii="Times New Roman" w:hAnsi="Times New Roman" w:cs="仿宋"/>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56" w:type="dxa"/>
            <w:vMerge w:val="continue"/>
            <w:shd w:val="clear" w:color="auto" w:fill="auto"/>
            <w:vAlign w:val="center"/>
          </w:tcPr>
          <w:p>
            <w:pPr>
              <w:widowControl w:val="0"/>
              <w:snapToGrid w:val="0"/>
              <w:spacing w:line="240" w:lineRule="auto"/>
              <w:jc w:val="center"/>
              <w:rPr>
                <w:rFonts w:cs="仿宋"/>
                <w:sz w:val="20"/>
                <w:szCs w:val="20"/>
              </w:rPr>
            </w:pPr>
          </w:p>
        </w:tc>
        <w:tc>
          <w:tcPr>
            <w:tcW w:w="708" w:type="dxa"/>
            <w:vMerge w:val="continue"/>
            <w:vAlign w:val="center"/>
          </w:tcPr>
          <w:p>
            <w:pPr>
              <w:widowControl w:val="0"/>
              <w:snapToGrid w:val="0"/>
              <w:spacing w:line="240" w:lineRule="auto"/>
              <w:jc w:val="center"/>
              <w:rPr>
                <w:rFonts w:cs="仿宋"/>
                <w:sz w:val="20"/>
                <w:szCs w:val="20"/>
              </w:rPr>
            </w:pPr>
          </w:p>
        </w:tc>
        <w:tc>
          <w:tcPr>
            <w:tcW w:w="1574" w:type="dxa"/>
            <w:vMerge w:val="restart"/>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D</w:t>
            </w:r>
            <w:r>
              <w:rPr>
                <w:rFonts w:hint="eastAsia" w:ascii="Times New Roman" w:hAnsi="Times New Roman" w:cs="仿宋"/>
                <w:sz w:val="20"/>
                <w:szCs w:val="20"/>
              </w:rPr>
              <w:t>2</w:t>
            </w:r>
            <w:r>
              <w:rPr>
                <w:rFonts w:hint="eastAsia" w:cs="仿宋"/>
                <w:sz w:val="20"/>
                <w:szCs w:val="20"/>
              </w:rPr>
              <w:t>社会效益</w:t>
            </w:r>
          </w:p>
        </w:tc>
        <w:tc>
          <w:tcPr>
            <w:tcW w:w="694" w:type="dxa"/>
            <w:vMerge w:val="restart"/>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8</w:t>
            </w:r>
          </w:p>
        </w:tc>
        <w:tc>
          <w:tcPr>
            <w:tcW w:w="3842" w:type="dxa"/>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D21</w:t>
            </w:r>
            <w:r>
              <w:rPr>
                <w:rFonts w:hint="eastAsia" w:cs="仿宋_GB2312"/>
                <w:bCs/>
                <w:sz w:val="20"/>
                <w:szCs w:val="20"/>
              </w:rPr>
              <w:t>解决村民出行难题</w:t>
            </w:r>
          </w:p>
        </w:tc>
        <w:tc>
          <w:tcPr>
            <w:tcW w:w="709"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56" w:type="dxa"/>
            <w:vMerge w:val="continue"/>
            <w:shd w:val="clear" w:color="auto" w:fill="auto"/>
            <w:vAlign w:val="center"/>
          </w:tcPr>
          <w:p>
            <w:pPr>
              <w:widowControl w:val="0"/>
              <w:snapToGrid w:val="0"/>
              <w:spacing w:line="240" w:lineRule="auto"/>
              <w:jc w:val="center"/>
              <w:rPr>
                <w:rFonts w:cs="仿宋"/>
                <w:sz w:val="20"/>
                <w:szCs w:val="20"/>
              </w:rPr>
            </w:pPr>
          </w:p>
        </w:tc>
        <w:tc>
          <w:tcPr>
            <w:tcW w:w="708" w:type="dxa"/>
            <w:vMerge w:val="continue"/>
            <w:vAlign w:val="center"/>
          </w:tcPr>
          <w:p>
            <w:pPr>
              <w:widowControl w:val="0"/>
              <w:snapToGrid w:val="0"/>
              <w:spacing w:line="240" w:lineRule="auto"/>
              <w:jc w:val="center"/>
              <w:rPr>
                <w:rFonts w:cs="仿宋"/>
                <w:sz w:val="20"/>
                <w:szCs w:val="20"/>
              </w:rPr>
            </w:pPr>
          </w:p>
        </w:tc>
        <w:tc>
          <w:tcPr>
            <w:tcW w:w="1574" w:type="dxa"/>
            <w:vMerge w:val="continue"/>
            <w:shd w:val="clear" w:color="auto" w:fill="auto"/>
            <w:vAlign w:val="center"/>
          </w:tcPr>
          <w:p>
            <w:pPr>
              <w:widowControl w:val="0"/>
              <w:snapToGrid w:val="0"/>
              <w:spacing w:line="240" w:lineRule="auto"/>
              <w:jc w:val="center"/>
              <w:rPr>
                <w:rFonts w:ascii="Times New Roman" w:hAnsi="Times New Roman" w:cs="仿宋"/>
                <w:sz w:val="20"/>
                <w:szCs w:val="20"/>
              </w:rPr>
            </w:pPr>
          </w:p>
        </w:tc>
        <w:tc>
          <w:tcPr>
            <w:tcW w:w="694" w:type="dxa"/>
            <w:vMerge w:val="continue"/>
            <w:vAlign w:val="center"/>
          </w:tcPr>
          <w:p>
            <w:pPr>
              <w:widowControl w:val="0"/>
              <w:snapToGrid w:val="0"/>
              <w:spacing w:line="240" w:lineRule="auto"/>
              <w:jc w:val="center"/>
              <w:rPr>
                <w:rFonts w:ascii="Times New Roman" w:hAnsi="Times New Roman" w:cs="仿宋"/>
                <w:sz w:val="20"/>
                <w:szCs w:val="20"/>
              </w:rPr>
            </w:pPr>
          </w:p>
        </w:tc>
        <w:tc>
          <w:tcPr>
            <w:tcW w:w="3842" w:type="dxa"/>
            <w:shd w:val="clear" w:color="auto" w:fill="auto"/>
            <w:vAlign w:val="center"/>
          </w:tcPr>
          <w:p>
            <w:pPr>
              <w:widowControl w:val="0"/>
              <w:snapToGrid w:val="0"/>
              <w:spacing w:line="240" w:lineRule="auto"/>
              <w:jc w:val="center"/>
              <w:rPr>
                <w:rFonts w:ascii="Times New Roman" w:hAnsi="Times New Roman" w:cs="仿宋"/>
                <w:sz w:val="20"/>
                <w:szCs w:val="20"/>
              </w:rPr>
            </w:pPr>
            <w:r>
              <w:rPr>
                <w:rFonts w:hint="eastAsia" w:ascii="Times New Roman" w:hAnsi="Times New Roman" w:cs="仿宋"/>
                <w:sz w:val="20"/>
                <w:szCs w:val="20"/>
              </w:rPr>
              <w:t>D22</w:t>
            </w:r>
            <w:r>
              <w:rPr>
                <w:rFonts w:hint="eastAsia" w:cs="仿宋_GB2312"/>
                <w:bCs/>
                <w:sz w:val="20"/>
                <w:szCs w:val="20"/>
              </w:rPr>
              <w:t>改善农民生产生活条件</w:t>
            </w:r>
          </w:p>
        </w:tc>
        <w:tc>
          <w:tcPr>
            <w:tcW w:w="709" w:type="dxa"/>
            <w:shd w:val="clear" w:color="auto" w:fill="auto"/>
            <w:vAlign w:val="center"/>
          </w:tcPr>
          <w:p>
            <w:pPr>
              <w:widowControl w:val="0"/>
              <w:snapToGrid w:val="0"/>
              <w:spacing w:line="240" w:lineRule="auto"/>
              <w:jc w:val="center"/>
              <w:rPr>
                <w:rFonts w:ascii="Times New Roman" w:hAnsi="Times New Roman" w:cs="仿宋"/>
                <w:sz w:val="20"/>
                <w:szCs w:val="20"/>
              </w:rPr>
            </w:pPr>
            <w:r>
              <w:rPr>
                <w:rFonts w:hint="eastAsia" w:ascii="Times New Roman" w:hAnsi="Times New Roman" w:cs="仿宋"/>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56" w:type="dxa"/>
            <w:vMerge w:val="continue"/>
            <w:shd w:val="clear" w:color="auto" w:fill="auto"/>
            <w:vAlign w:val="center"/>
          </w:tcPr>
          <w:p>
            <w:pPr>
              <w:widowControl w:val="0"/>
              <w:snapToGrid w:val="0"/>
              <w:spacing w:line="240" w:lineRule="auto"/>
              <w:jc w:val="center"/>
              <w:rPr>
                <w:rFonts w:cs="仿宋"/>
                <w:sz w:val="20"/>
                <w:szCs w:val="20"/>
              </w:rPr>
            </w:pPr>
          </w:p>
        </w:tc>
        <w:tc>
          <w:tcPr>
            <w:tcW w:w="708" w:type="dxa"/>
            <w:vMerge w:val="continue"/>
            <w:vAlign w:val="center"/>
          </w:tcPr>
          <w:p>
            <w:pPr>
              <w:widowControl w:val="0"/>
              <w:snapToGrid w:val="0"/>
              <w:spacing w:line="240" w:lineRule="auto"/>
              <w:jc w:val="center"/>
              <w:rPr>
                <w:rFonts w:cs="仿宋"/>
                <w:sz w:val="20"/>
                <w:szCs w:val="20"/>
              </w:rPr>
            </w:pPr>
          </w:p>
        </w:tc>
        <w:tc>
          <w:tcPr>
            <w:tcW w:w="1574" w:type="dxa"/>
            <w:vMerge w:val="restart"/>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D</w:t>
            </w:r>
            <w:r>
              <w:rPr>
                <w:rFonts w:hint="eastAsia" w:ascii="Times New Roman" w:hAnsi="Times New Roman" w:cs="仿宋"/>
                <w:sz w:val="20"/>
                <w:szCs w:val="20"/>
              </w:rPr>
              <w:t>3</w:t>
            </w:r>
            <w:r>
              <w:rPr>
                <w:rFonts w:hint="eastAsia" w:cs="仿宋"/>
                <w:sz w:val="20"/>
                <w:szCs w:val="20"/>
              </w:rPr>
              <w:t>可持续影响</w:t>
            </w:r>
          </w:p>
        </w:tc>
        <w:tc>
          <w:tcPr>
            <w:tcW w:w="694" w:type="dxa"/>
            <w:vMerge w:val="restart"/>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9</w:t>
            </w:r>
          </w:p>
        </w:tc>
        <w:tc>
          <w:tcPr>
            <w:tcW w:w="3842" w:type="dxa"/>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D31</w:t>
            </w:r>
            <w:r>
              <w:rPr>
                <w:rFonts w:hint="eastAsia" w:cs="仿宋_GB2312"/>
                <w:bCs/>
                <w:sz w:val="20"/>
                <w:szCs w:val="20"/>
              </w:rPr>
              <w:t>工程设计使用年限</w:t>
            </w:r>
          </w:p>
        </w:tc>
        <w:tc>
          <w:tcPr>
            <w:tcW w:w="709"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56" w:type="dxa"/>
            <w:vMerge w:val="continue"/>
            <w:shd w:val="clear" w:color="auto" w:fill="auto"/>
            <w:vAlign w:val="center"/>
          </w:tcPr>
          <w:p>
            <w:pPr>
              <w:widowControl w:val="0"/>
              <w:snapToGrid w:val="0"/>
              <w:spacing w:line="240" w:lineRule="auto"/>
              <w:jc w:val="center"/>
              <w:rPr>
                <w:rFonts w:cs="仿宋"/>
                <w:sz w:val="20"/>
                <w:szCs w:val="20"/>
              </w:rPr>
            </w:pPr>
          </w:p>
        </w:tc>
        <w:tc>
          <w:tcPr>
            <w:tcW w:w="708" w:type="dxa"/>
            <w:vMerge w:val="continue"/>
            <w:vAlign w:val="center"/>
          </w:tcPr>
          <w:p>
            <w:pPr>
              <w:widowControl w:val="0"/>
              <w:snapToGrid w:val="0"/>
              <w:spacing w:line="240" w:lineRule="auto"/>
              <w:jc w:val="center"/>
              <w:rPr>
                <w:rFonts w:cs="仿宋"/>
                <w:sz w:val="20"/>
                <w:szCs w:val="20"/>
              </w:rPr>
            </w:pPr>
          </w:p>
        </w:tc>
        <w:tc>
          <w:tcPr>
            <w:tcW w:w="1574" w:type="dxa"/>
            <w:vMerge w:val="continue"/>
            <w:shd w:val="clear" w:color="auto" w:fill="auto"/>
            <w:vAlign w:val="center"/>
          </w:tcPr>
          <w:p>
            <w:pPr>
              <w:widowControl w:val="0"/>
              <w:snapToGrid w:val="0"/>
              <w:spacing w:line="240" w:lineRule="auto"/>
              <w:jc w:val="center"/>
              <w:rPr>
                <w:rFonts w:cs="仿宋"/>
                <w:sz w:val="20"/>
                <w:szCs w:val="20"/>
              </w:rPr>
            </w:pPr>
          </w:p>
        </w:tc>
        <w:tc>
          <w:tcPr>
            <w:tcW w:w="694" w:type="dxa"/>
            <w:vMerge w:val="continue"/>
            <w:vAlign w:val="center"/>
          </w:tcPr>
          <w:p>
            <w:pPr>
              <w:widowControl w:val="0"/>
              <w:snapToGrid w:val="0"/>
              <w:spacing w:line="240" w:lineRule="auto"/>
              <w:jc w:val="center"/>
              <w:rPr>
                <w:rFonts w:cs="仿宋"/>
                <w:sz w:val="20"/>
                <w:szCs w:val="20"/>
              </w:rPr>
            </w:pPr>
          </w:p>
        </w:tc>
        <w:tc>
          <w:tcPr>
            <w:tcW w:w="3842" w:type="dxa"/>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D</w:t>
            </w:r>
            <w:r>
              <w:rPr>
                <w:rFonts w:hint="eastAsia" w:ascii="Times New Roman" w:hAnsi="Times New Roman" w:cs="仿宋"/>
                <w:sz w:val="20"/>
                <w:szCs w:val="20"/>
              </w:rPr>
              <w:t>32</w:t>
            </w:r>
            <w:r>
              <w:rPr>
                <w:rFonts w:hint="eastAsia" w:cs="仿宋"/>
                <w:sz w:val="20"/>
                <w:szCs w:val="20"/>
              </w:rPr>
              <w:t>后期维护管护</w:t>
            </w:r>
          </w:p>
        </w:tc>
        <w:tc>
          <w:tcPr>
            <w:tcW w:w="709"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56" w:type="dxa"/>
            <w:vMerge w:val="continue"/>
            <w:shd w:val="clear" w:color="auto" w:fill="auto"/>
            <w:vAlign w:val="center"/>
          </w:tcPr>
          <w:p>
            <w:pPr>
              <w:widowControl w:val="0"/>
              <w:snapToGrid w:val="0"/>
              <w:spacing w:line="240" w:lineRule="auto"/>
              <w:jc w:val="center"/>
              <w:rPr>
                <w:rFonts w:cs="仿宋"/>
                <w:sz w:val="20"/>
                <w:szCs w:val="20"/>
              </w:rPr>
            </w:pPr>
          </w:p>
        </w:tc>
        <w:tc>
          <w:tcPr>
            <w:tcW w:w="708" w:type="dxa"/>
            <w:vMerge w:val="continue"/>
            <w:vAlign w:val="center"/>
          </w:tcPr>
          <w:p>
            <w:pPr>
              <w:widowControl w:val="0"/>
              <w:snapToGrid w:val="0"/>
              <w:spacing w:line="240" w:lineRule="auto"/>
              <w:jc w:val="center"/>
              <w:rPr>
                <w:rFonts w:cs="仿宋"/>
                <w:sz w:val="20"/>
                <w:szCs w:val="20"/>
              </w:rPr>
            </w:pPr>
          </w:p>
        </w:tc>
        <w:tc>
          <w:tcPr>
            <w:tcW w:w="1574" w:type="dxa"/>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D</w:t>
            </w:r>
            <w:r>
              <w:rPr>
                <w:rFonts w:hint="eastAsia" w:ascii="Times New Roman" w:hAnsi="Times New Roman" w:cs="仿宋"/>
                <w:sz w:val="20"/>
                <w:szCs w:val="20"/>
              </w:rPr>
              <w:t>4</w:t>
            </w:r>
            <w:r>
              <w:rPr>
                <w:rFonts w:hint="eastAsia" w:cs="仿宋"/>
                <w:sz w:val="20"/>
                <w:szCs w:val="20"/>
              </w:rPr>
              <w:t>满意度</w:t>
            </w:r>
          </w:p>
        </w:tc>
        <w:tc>
          <w:tcPr>
            <w:tcW w:w="694" w:type="dxa"/>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8</w:t>
            </w:r>
          </w:p>
        </w:tc>
        <w:tc>
          <w:tcPr>
            <w:tcW w:w="3842" w:type="dxa"/>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D5</w:t>
            </w:r>
            <w:r>
              <w:rPr>
                <w:rFonts w:hint="eastAsia" w:ascii="Times New Roman" w:hAnsi="Times New Roman" w:cs="仿宋"/>
                <w:sz w:val="20"/>
                <w:szCs w:val="20"/>
              </w:rPr>
              <w:t>1</w:t>
            </w:r>
            <w:r>
              <w:rPr>
                <w:rFonts w:hint="eastAsia" w:cs="仿宋"/>
                <w:sz w:val="20"/>
                <w:szCs w:val="20"/>
              </w:rPr>
              <w:t>贫困人口满意度</w:t>
            </w:r>
          </w:p>
        </w:tc>
        <w:tc>
          <w:tcPr>
            <w:tcW w:w="709"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74" w:type="dxa"/>
            <w:gridSpan w:val="5"/>
            <w:vAlign w:val="center"/>
          </w:tcPr>
          <w:p>
            <w:pPr>
              <w:widowControl w:val="0"/>
              <w:snapToGrid w:val="0"/>
              <w:spacing w:line="240" w:lineRule="auto"/>
              <w:jc w:val="center"/>
              <w:rPr>
                <w:rFonts w:cs="仿宋"/>
                <w:sz w:val="20"/>
                <w:szCs w:val="20"/>
              </w:rPr>
            </w:pPr>
            <w:r>
              <w:rPr>
                <w:rFonts w:hint="eastAsia" w:cs="仿宋"/>
                <w:sz w:val="20"/>
                <w:szCs w:val="20"/>
              </w:rPr>
              <w:t>合       计</w:t>
            </w:r>
          </w:p>
        </w:tc>
        <w:tc>
          <w:tcPr>
            <w:tcW w:w="709"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100</w:t>
            </w:r>
          </w:p>
        </w:tc>
      </w:tr>
      <w:bookmarkEnd w:id="38"/>
    </w:tbl>
    <w:p>
      <w:pPr>
        <w:spacing w:before="100" w:beforeAutospacing="1"/>
        <w:ind w:firstLine="640" w:firstLineChars="200"/>
        <w:outlineLvl w:val="1"/>
        <w:rPr>
          <w:rFonts w:ascii="楷体" w:hAnsi="楷体" w:eastAsia="楷体" w:cs="Times New Roman"/>
          <w:bCs/>
          <w:sz w:val="32"/>
          <w:szCs w:val="32"/>
        </w:rPr>
      </w:pPr>
      <w:bookmarkStart w:id="39" w:name="_Toc28820"/>
      <w:r>
        <w:rPr>
          <w:rFonts w:hint="eastAsia" w:ascii="楷体" w:hAnsi="楷体" w:eastAsia="楷体" w:cs="Times New Roman"/>
          <w:bCs/>
          <w:sz w:val="32"/>
          <w:szCs w:val="32"/>
        </w:rPr>
        <w:t>（四）评价依据</w:t>
      </w:r>
      <w:bookmarkEnd w:id="39"/>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本次绩效评价依据包括</w:t>
      </w:r>
      <w:r>
        <w:rPr>
          <w:rFonts w:ascii="仿宋_GB2312" w:hAnsi="仿宋_GB2312" w:eastAsia="仿宋_GB2312" w:cs="仿宋_GB2312"/>
          <w:sz w:val="32"/>
          <w:szCs w:val="32"/>
        </w:rPr>
        <w:t>绩效评价方面的法律法规和政策性文件及资金下达文件</w:t>
      </w:r>
      <w:r>
        <w:rPr>
          <w:rFonts w:hint="eastAsia" w:ascii="仿宋_GB2312" w:hAnsi="仿宋_GB2312" w:eastAsia="仿宋_GB2312" w:cs="仿宋_GB2312"/>
          <w:sz w:val="32"/>
          <w:szCs w:val="32"/>
        </w:rPr>
        <w:t>：</w:t>
      </w:r>
    </w:p>
    <w:p>
      <w:pPr>
        <w:ind w:firstLine="641"/>
        <w:rPr>
          <w:rFonts w:ascii="仿宋_GB2312" w:hAnsi="仿宋_GB2312" w:eastAsia="仿宋_GB2312" w:cs="仿宋_GB2312"/>
          <w:sz w:val="32"/>
          <w:szCs w:val="32"/>
        </w:rPr>
      </w:pPr>
      <w:bookmarkStart w:id="40" w:name="_Toc485130634"/>
      <w:bookmarkStart w:id="41" w:name="_Toc512610845"/>
      <w:bookmarkStart w:id="42" w:name="_Toc9518"/>
      <w:bookmarkStart w:id="43" w:name="_Toc8675690"/>
      <w:bookmarkStart w:id="44" w:name="_Toc478814037"/>
      <w:bookmarkStart w:id="45" w:name="_Toc16529591"/>
      <w:r>
        <w:rPr>
          <w:rFonts w:ascii="Times New Roman" w:hAnsi="Times New Roman" w:eastAsia="仿宋_GB2312" w:cs="仿宋_GB2312"/>
          <w:sz w:val="32"/>
          <w:szCs w:val="32"/>
        </w:rPr>
        <w:t>1</w:t>
      </w:r>
      <w:r>
        <w:rPr>
          <w:rFonts w:ascii="仿宋_GB2312" w:hAnsi="仿宋_GB2312" w:eastAsia="仿宋_GB2312" w:cs="仿宋_GB2312"/>
          <w:sz w:val="32"/>
          <w:szCs w:val="32"/>
        </w:rPr>
        <w:t>.《中华人民共和国预算法》；</w:t>
      </w:r>
    </w:p>
    <w:p>
      <w:pPr>
        <w:ind w:firstLine="641"/>
        <w:rPr>
          <w:rFonts w:ascii="仿宋_GB2312" w:hAnsi="仿宋_GB2312" w:eastAsia="仿宋_GB2312" w:cs="仿宋_GB2312"/>
          <w:sz w:val="32"/>
          <w:szCs w:val="32"/>
        </w:rPr>
      </w:pPr>
      <w:r>
        <w:rPr>
          <w:rFonts w:ascii="Times New Roman" w:hAnsi="Times New Roman" w:eastAsia="仿宋_GB2312" w:cs="仿宋_GB2312"/>
          <w:sz w:val="32"/>
          <w:szCs w:val="32"/>
        </w:rPr>
        <w:t>2</w:t>
      </w:r>
      <w:r>
        <w:rPr>
          <w:rFonts w:ascii="仿宋_GB2312" w:hAnsi="仿宋_GB2312" w:eastAsia="仿宋_GB2312" w:cs="仿宋_GB2312"/>
          <w:sz w:val="32"/>
          <w:szCs w:val="32"/>
        </w:rPr>
        <w:t>.《中共中央 国务院关于全面实施预算绩效管理的意见》（中发〔</w:t>
      </w:r>
      <w:r>
        <w:rPr>
          <w:rFonts w:ascii="Times New Roman" w:hAnsi="Times New Roman" w:eastAsia="仿宋_GB2312" w:cs="仿宋_GB2312"/>
          <w:sz w:val="32"/>
          <w:szCs w:val="32"/>
        </w:rPr>
        <w:t>2018</w:t>
      </w:r>
      <w:r>
        <w:rPr>
          <w:rFonts w:ascii="仿宋_GB2312" w:hAnsi="仿宋_GB2312" w:eastAsia="仿宋_GB2312" w:cs="仿宋_GB2312"/>
          <w:sz w:val="32"/>
          <w:szCs w:val="32"/>
        </w:rPr>
        <w:t>〕</w:t>
      </w:r>
      <w:r>
        <w:rPr>
          <w:rFonts w:ascii="Times New Roman" w:hAnsi="Times New Roman" w:eastAsia="仿宋_GB2312" w:cs="仿宋_GB2312"/>
          <w:sz w:val="32"/>
          <w:szCs w:val="32"/>
        </w:rPr>
        <w:t>34</w:t>
      </w:r>
      <w:r>
        <w:rPr>
          <w:rFonts w:ascii="仿宋_GB2312" w:hAnsi="仿宋_GB2312" w:eastAsia="仿宋_GB2312" w:cs="仿宋_GB2312"/>
          <w:sz w:val="32"/>
          <w:szCs w:val="32"/>
        </w:rPr>
        <w:t>号）；</w:t>
      </w:r>
    </w:p>
    <w:p>
      <w:pPr>
        <w:ind w:firstLine="641"/>
        <w:rPr>
          <w:rFonts w:ascii="仿宋_GB2312" w:hAnsi="仿宋_GB2312" w:eastAsia="仿宋_GB2312" w:cs="仿宋_GB2312"/>
          <w:sz w:val="32"/>
          <w:szCs w:val="32"/>
        </w:rPr>
      </w:pPr>
      <w:r>
        <w:rPr>
          <w:rFonts w:ascii="Times New Roman" w:hAnsi="Times New Roman" w:eastAsia="仿宋_GB2312" w:cs="仿宋_GB2312"/>
          <w:sz w:val="32"/>
          <w:szCs w:val="32"/>
        </w:rPr>
        <w:t>3</w:t>
      </w:r>
      <w:r>
        <w:rPr>
          <w:rFonts w:ascii="仿宋_GB2312" w:hAnsi="仿宋_GB2312" w:eastAsia="仿宋_GB2312" w:cs="仿宋_GB2312"/>
          <w:sz w:val="32"/>
          <w:szCs w:val="32"/>
        </w:rPr>
        <w:t>.《财政部关于贯彻落实&lt;中共中央 国务院关于全面实施预算绩效管理的意见&gt;的通知》（财预〔</w:t>
      </w:r>
      <w:r>
        <w:rPr>
          <w:rFonts w:ascii="Times New Roman" w:hAnsi="Times New Roman" w:eastAsia="仿宋_GB2312" w:cs="仿宋_GB2312"/>
          <w:sz w:val="32"/>
          <w:szCs w:val="32"/>
        </w:rPr>
        <w:t>2018</w:t>
      </w:r>
      <w:r>
        <w:rPr>
          <w:rFonts w:ascii="仿宋_GB2312" w:hAnsi="仿宋_GB2312" w:eastAsia="仿宋_GB2312" w:cs="仿宋_GB2312"/>
          <w:sz w:val="32"/>
          <w:szCs w:val="32"/>
        </w:rPr>
        <w:t>〕</w:t>
      </w:r>
      <w:r>
        <w:rPr>
          <w:rFonts w:ascii="Times New Roman" w:hAnsi="Times New Roman" w:eastAsia="仿宋_GB2312" w:cs="仿宋_GB2312"/>
          <w:sz w:val="32"/>
          <w:szCs w:val="32"/>
        </w:rPr>
        <w:t>167</w:t>
      </w:r>
      <w:r>
        <w:rPr>
          <w:rFonts w:ascii="仿宋_GB2312" w:hAnsi="仿宋_GB2312" w:eastAsia="仿宋_GB2312" w:cs="仿宋_GB2312"/>
          <w:sz w:val="32"/>
          <w:szCs w:val="32"/>
        </w:rPr>
        <w:t>号）；</w:t>
      </w:r>
    </w:p>
    <w:p>
      <w:pPr>
        <w:ind w:firstLine="641"/>
        <w:rPr>
          <w:rFonts w:ascii="仿宋_GB2312" w:hAnsi="仿宋_GB2312" w:eastAsia="仿宋_GB2312" w:cs="仿宋_GB2312"/>
          <w:sz w:val="32"/>
          <w:szCs w:val="32"/>
        </w:rPr>
      </w:pPr>
      <w:r>
        <w:rPr>
          <w:rFonts w:ascii="Times New Roman" w:hAnsi="Times New Roman" w:eastAsia="仿宋_GB2312" w:cs="仿宋_GB2312"/>
          <w:sz w:val="32"/>
          <w:szCs w:val="32"/>
        </w:rPr>
        <w:t>4</w:t>
      </w:r>
      <w:r>
        <w:rPr>
          <w:rFonts w:ascii="仿宋_GB2312" w:hAnsi="仿宋_GB2312" w:eastAsia="仿宋_GB2312" w:cs="仿宋_GB2312"/>
          <w:sz w:val="32"/>
          <w:szCs w:val="32"/>
        </w:rPr>
        <w:t>.《财政部关于印发&lt;项目支出绩效评价管理办法&gt;的通知》（财预〔</w:t>
      </w:r>
      <w:r>
        <w:rPr>
          <w:rFonts w:ascii="Times New Roman" w:hAnsi="Times New Roman" w:eastAsia="仿宋_GB2312" w:cs="仿宋_GB2312"/>
          <w:sz w:val="32"/>
          <w:szCs w:val="32"/>
        </w:rPr>
        <w:t>2020</w:t>
      </w:r>
      <w:r>
        <w:rPr>
          <w:rFonts w:ascii="仿宋_GB2312" w:hAnsi="仿宋_GB2312" w:eastAsia="仿宋_GB2312" w:cs="仿宋_GB2312"/>
          <w:sz w:val="32"/>
          <w:szCs w:val="32"/>
        </w:rPr>
        <w:t>〕</w:t>
      </w:r>
      <w:r>
        <w:rPr>
          <w:rFonts w:ascii="Times New Roman" w:hAnsi="Times New Roman" w:eastAsia="仿宋_GB2312" w:cs="仿宋_GB2312"/>
          <w:sz w:val="32"/>
          <w:szCs w:val="32"/>
        </w:rPr>
        <w:t>10</w:t>
      </w:r>
      <w:r>
        <w:rPr>
          <w:rFonts w:ascii="仿宋_GB2312" w:hAnsi="仿宋_GB2312" w:eastAsia="仿宋_GB2312" w:cs="仿宋_GB2312"/>
          <w:sz w:val="32"/>
          <w:szCs w:val="32"/>
        </w:rPr>
        <w:t>号）；</w:t>
      </w:r>
    </w:p>
    <w:p>
      <w:pPr>
        <w:ind w:firstLine="641"/>
        <w:rPr>
          <w:rFonts w:ascii="仿宋_GB2312" w:hAnsi="仿宋_GB2312" w:eastAsia="仿宋_GB2312" w:cs="仿宋_GB2312"/>
          <w:sz w:val="32"/>
          <w:szCs w:val="32"/>
        </w:rPr>
      </w:pPr>
      <w:r>
        <w:rPr>
          <w:rFonts w:ascii="Times New Roman" w:hAnsi="Times New Roman" w:eastAsia="仿宋_GB2312" w:cs="仿宋_GB2312"/>
          <w:sz w:val="32"/>
          <w:szCs w:val="32"/>
        </w:rPr>
        <w:t>5</w:t>
      </w:r>
      <w:r>
        <w:rPr>
          <w:rFonts w:ascii="仿宋_GB2312" w:hAnsi="仿宋_GB2312" w:eastAsia="仿宋_GB2312" w:cs="仿宋_GB2312"/>
          <w:sz w:val="32"/>
          <w:szCs w:val="32"/>
        </w:rPr>
        <w:t>.《中共山西省委 山西省人民政府关于全面实施预算绩效管理的实施意见》（晋发〔</w:t>
      </w:r>
      <w:r>
        <w:rPr>
          <w:rFonts w:ascii="Times New Roman" w:hAnsi="Times New Roman" w:eastAsia="仿宋_GB2312" w:cs="仿宋_GB2312"/>
          <w:sz w:val="32"/>
          <w:szCs w:val="32"/>
        </w:rPr>
        <w:t>2018</w:t>
      </w:r>
      <w:r>
        <w:rPr>
          <w:rFonts w:ascii="仿宋_GB2312" w:hAnsi="仿宋_GB2312" w:eastAsia="仿宋_GB2312" w:cs="仿宋_GB2312"/>
          <w:sz w:val="32"/>
          <w:szCs w:val="32"/>
        </w:rPr>
        <w:t>〕</w:t>
      </w:r>
      <w:r>
        <w:rPr>
          <w:rFonts w:ascii="Times New Roman" w:hAnsi="Times New Roman" w:eastAsia="仿宋_GB2312" w:cs="仿宋_GB2312"/>
          <w:sz w:val="32"/>
          <w:szCs w:val="32"/>
        </w:rPr>
        <w:t>39</w:t>
      </w:r>
      <w:r>
        <w:rPr>
          <w:rFonts w:ascii="仿宋_GB2312" w:hAnsi="仿宋_GB2312" w:eastAsia="仿宋_GB2312" w:cs="仿宋_GB2312"/>
          <w:sz w:val="32"/>
          <w:szCs w:val="32"/>
        </w:rPr>
        <w:t>号）；</w:t>
      </w:r>
    </w:p>
    <w:p>
      <w:pPr>
        <w:ind w:firstLine="641"/>
        <w:rPr>
          <w:rFonts w:ascii="仿宋_GB2312" w:hAnsi="仿宋_GB2312" w:eastAsia="仿宋_GB2312" w:cs="仿宋_GB2312"/>
          <w:sz w:val="32"/>
          <w:szCs w:val="32"/>
        </w:rPr>
      </w:pPr>
      <w:r>
        <w:rPr>
          <w:rFonts w:ascii="Times New Roman" w:hAnsi="Times New Roman" w:eastAsia="仿宋_GB2312" w:cs="仿宋_GB2312"/>
          <w:sz w:val="32"/>
          <w:szCs w:val="32"/>
        </w:rPr>
        <w:t>6</w:t>
      </w:r>
      <w:r>
        <w:rPr>
          <w:rFonts w:ascii="仿宋_GB2312" w:hAnsi="仿宋_GB2312" w:eastAsia="仿宋_GB2312" w:cs="仿宋_GB2312"/>
          <w:sz w:val="32"/>
          <w:szCs w:val="32"/>
        </w:rPr>
        <w:t>.《山西省财政厅关于贯彻落实&lt;中共山西省委 山西省人民政府关于全面实施预算绩效管理的实施意见&gt;的通知》（晋财绩〔</w:t>
      </w:r>
      <w:r>
        <w:rPr>
          <w:rFonts w:ascii="Times New Roman" w:hAnsi="Times New Roman" w:eastAsia="仿宋_GB2312" w:cs="仿宋_GB2312"/>
          <w:sz w:val="32"/>
          <w:szCs w:val="32"/>
        </w:rPr>
        <w:t>2019</w:t>
      </w:r>
      <w:r>
        <w:rPr>
          <w:rFonts w:ascii="仿宋_GB2312" w:hAnsi="仿宋_GB2312" w:eastAsia="仿宋_GB2312" w:cs="仿宋_GB2312"/>
          <w:sz w:val="32"/>
          <w:szCs w:val="32"/>
        </w:rPr>
        <w:t>〕</w:t>
      </w:r>
      <w:r>
        <w:rPr>
          <w:rFonts w:ascii="Times New Roman" w:hAnsi="Times New Roman" w:eastAsia="仿宋_GB2312" w:cs="仿宋_GB2312"/>
          <w:sz w:val="32"/>
          <w:szCs w:val="32"/>
        </w:rPr>
        <w:t>12</w:t>
      </w:r>
      <w:r>
        <w:rPr>
          <w:rFonts w:ascii="仿宋_GB2312" w:hAnsi="仿宋_GB2312" w:eastAsia="仿宋_GB2312" w:cs="仿宋_GB2312"/>
          <w:sz w:val="32"/>
          <w:szCs w:val="32"/>
        </w:rPr>
        <w:t>号）；</w:t>
      </w:r>
    </w:p>
    <w:p>
      <w:pPr>
        <w:ind w:firstLine="641"/>
        <w:rPr>
          <w:rFonts w:ascii="Times New Roman" w:hAnsi="Times New Roman" w:eastAsia="仿宋_GB2312" w:cs="仿宋_GB2312"/>
          <w:sz w:val="32"/>
          <w:szCs w:val="32"/>
        </w:rPr>
      </w:pPr>
      <w:r>
        <w:rPr>
          <w:rFonts w:ascii="Times New Roman" w:hAnsi="Times New Roman" w:eastAsia="仿宋_GB2312" w:cs="仿宋_GB2312"/>
          <w:sz w:val="32"/>
          <w:szCs w:val="32"/>
        </w:rPr>
        <w:t>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圣人涧镇人民政府《关于营村一组至二组道路硬化工程的申请报告》（圣政字</w:t>
      </w:r>
      <w:r>
        <w:rPr>
          <w:rFonts w:hint="eastAsia" w:ascii="Times New Roman" w:hAnsi="Times New Roman" w:eastAsia="仿宋_GB2312" w:cs="仿宋_GB2312"/>
          <w:sz w:val="32"/>
          <w:szCs w:val="32"/>
        </w:rPr>
        <w:t>〔2018〕137号）</w:t>
      </w:r>
      <w:r>
        <w:rPr>
          <w:rFonts w:hint="eastAsia" w:ascii="仿宋_GB2312" w:hAnsi="仿宋_GB2312" w:eastAsia="仿宋_GB2312" w:cs="仿宋_GB2312"/>
          <w:sz w:val="32"/>
          <w:szCs w:val="32"/>
        </w:rPr>
        <w:t>；</w:t>
      </w:r>
    </w:p>
    <w:p>
      <w:pPr>
        <w:ind w:firstLine="641"/>
        <w:rPr>
          <w:rFonts w:ascii="仿宋_GB2312" w:hAnsi="仿宋_GB2312" w:eastAsia="仿宋_GB2312" w:cs="仿宋_GB2312"/>
          <w:sz w:val="32"/>
          <w:szCs w:val="32"/>
        </w:rPr>
      </w:pPr>
      <w:r>
        <w:rPr>
          <w:rFonts w:ascii="Times New Roman" w:hAnsi="Times New Roman" w:eastAsia="仿宋_GB2312" w:cs="仿宋_GB2312"/>
          <w:sz w:val="32"/>
          <w:szCs w:val="32"/>
        </w:rPr>
        <w:t>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平陆县脱贫攻坚领导小组办公室《关于下达</w:t>
      </w:r>
      <w:r>
        <w:rPr>
          <w:rFonts w:hint="eastAsia" w:ascii="Times New Roman" w:hAnsi="Times New Roman" w:eastAsia="仿宋" w:cs="仿宋"/>
          <w:sz w:val="32"/>
          <w:szCs w:val="32"/>
        </w:rPr>
        <w:t>2019</w:t>
      </w:r>
      <w:r>
        <w:rPr>
          <w:rFonts w:hint="eastAsia" w:ascii="仿宋_GB2312" w:hAnsi="仿宋_GB2312" w:eastAsia="仿宋_GB2312" w:cs="仿宋_GB2312"/>
          <w:sz w:val="32"/>
          <w:szCs w:val="32"/>
        </w:rPr>
        <w:t>年第七批统筹整合财政资金使用计划的通知》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平脱贫攻坚组办〔</w:t>
      </w:r>
      <w:r>
        <w:rPr>
          <w:rFonts w:ascii="Times New Roman" w:hAnsi="Times New Roman" w:eastAsia="仿宋" w:cs="仿宋"/>
          <w:sz w:val="32"/>
          <w:szCs w:val="32"/>
        </w:rPr>
        <w:t>2019</w:t>
      </w:r>
      <w:r>
        <w:rPr>
          <w:rFonts w:ascii="仿宋_GB2312" w:hAnsi="仿宋_GB2312" w:eastAsia="仿宋_GB2312" w:cs="仿宋_GB2312"/>
          <w:sz w:val="32"/>
          <w:szCs w:val="32"/>
        </w:rPr>
        <w:t>〕</w:t>
      </w:r>
      <w:r>
        <w:rPr>
          <w:rFonts w:ascii="Times New Roman" w:hAnsi="Times New Roman" w:eastAsia="仿宋" w:cs="仿宋"/>
          <w:sz w:val="32"/>
          <w:szCs w:val="32"/>
        </w:rPr>
        <w:t>32</w:t>
      </w:r>
      <w:r>
        <w:rPr>
          <w:rFonts w:ascii="仿宋_GB2312" w:hAnsi="仿宋_GB2312" w:eastAsia="仿宋_GB2312" w:cs="仿宋_GB2312"/>
          <w:sz w:val="32"/>
          <w:szCs w:val="32"/>
        </w:rPr>
        <w:t>号）；</w:t>
      </w:r>
    </w:p>
    <w:p>
      <w:pPr>
        <w:ind w:firstLine="641"/>
        <w:rPr>
          <w:rFonts w:ascii="仿宋_GB2312" w:hAnsi="仿宋_GB2312" w:eastAsia="仿宋_GB2312" w:cs="仿宋_GB2312"/>
          <w:sz w:val="32"/>
          <w:szCs w:val="32"/>
        </w:rPr>
      </w:pPr>
      <w:r>
        <w:rPr>
          <w:rFonts w:ascii="Times New Roman" w:hAnsi="Times New Roman" w:eastAsia="仿宋_GB2312" w:cs="仿宋_GB2312"/>
          <w:sz w:val="32"/>
          <w:szCs w:val="32"/>
        </w:rPr>
        <w:t>9</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平陆县财政局</w:t>
      </w:r>
      <w:r>
        <w:rPr>
          <w:rFonts w:ascii="仿宋_GB2312" w:hAnsi="仿宋_GB2312" w:eastAsia="仿宋_GB2312" w:cs="仿宋_GB2312"/>
          <w:sz w:val="32"/>
          <w:szCs w:val="32"/>
        </w:rPr>
        <w:t>关于</w:t>
      </w:r>
      <w:r>
        <w:rPr>
          <w:rFonts w:hint="eastAsia" w:ascii="仿宋_GB2312" w:hAnsi="仿宋_GB2312" w:eastAsia="仿宋_GB2312" w:cs="仿宋_GB2312"/>
          <w:sz w:val="32"/>
          <w:szCs w:val="32"/>
        </w:rPr>
        <w:t>开展&lt;</w:t>
      </w:r>
      <w:r>
        <w:rPr>
          <w:rFonts w:ascii="Times New Roman" w:hAnsi="Times New Roman" w:eastAsia="仿宋_GB2312" w:cs="仿宋_GB2312"/>
          <w:sz w:val="32"/>
          <w:szCs w:val="32"/>
        </w:rPr>
        <w:t>20</w:t>
      </w:r>
      <w:r>
        <w:rPr>
          <w:rFonts w:hint="eastAsia" w:ascii="Times New Roman" w:hAnsi="Times New Roman" w:eastAsia="仿宋_GB2312" w:cs="仿宋_GB2312"/>
          <w:sz w:val="32"/>
          <w:szCs w:val="32"/>
        </w:rPr>
        <w:t>19</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度财政支出</w:t>
      </w:r>
      <w:r>
        <w:rPr>
          <w:rFonts w:ascii="仿宋_GB2312" w:hAnsi="仿宋_GB2312" w:eastAsia="仿宋_GB2312" w:cs="仿宋_GB2312"/>
          <w:sz w:val="32"/>
          <w:szCs w:val="32"/>
        </w:rPr>
        <w:t>绩效评价</w:t>
      </w:r>
      <w:r>
        <w:rPr>
          <w:rFonts w:hint="eastAsia" w:ascii="仿宋_GB2312" w:hAnsi="仿宋_GB2312" w:eastAsia="仿宋_GB2312" w:cs="仿宋_GB2312"/>
          <w:sz w:val="32"/>
          <w:szCs w:val="32"/>
        </w:rPr>
        <w:t>工作&gt;</w:t>
      </w:r>
      <w:r>
        <w:rPr>
          <w:rFonts w:ascii="仿宋_GB2312" w:hAnsi="仿宋_GB2312" w:eastAsia="仿宋_GB2312" w:cs="仿宋_GB2312"/>
          <w:sz w:val="32"/>
          <w:szCs w:val="32"/>
        </w:rPr>
        <w:t>的通知》(</w:t>
      </w:r>
      <w:r>
        <w:rPr>
          <w:rFonts w:hint="eastAsia" w:ascii="仿宋_GB2312" w:hAnsi="仿宋_GB2312" w:eastAsia="仿宋_GB2312" w:cs="仿宋_GB2312"/>
          <w:sz w:val="32"/>
          <w:szCs w:val="32"/>
        </w:rPr>
        <w:t>平</w:t>
      </w:r>
      <w:r>
        <w:rPr>
          <w:rFonts w:ascii="仿宋_GB2312" w:hAnsi="仿宋_GB2312" w:eastAsia="仿宋_GB2312" w:cs="仿宋_GB2312"/>
          <w:sz w:val="32"/>
          <w:szCs w:val="32"/>
        </w:rPr>
        <w:t>财绩</w:t>
      </w:r>
      <w:r>
        <w:rPr>
          <w:rFonts w:hint="eastAsia" w:ascii="仿宋_GB2312" w:hAnsi="仿宋_GB2312" w:eastAsia="仿宋_GB2312" w:cs="仿宋_GB2312"/>
          <w:sz w:val="32"/>
          <w:szCs w:val="32"/>
        </w:rPr>
        <w:t>字</w:t>
      </w:r>
      <w:r>
        <w:rPr>
          <w:rFonts w:ascii="仿宋_GB2312" w:hAnsi="仿宋_GB2312" w:eastAsia="仿宋_GB2312" w:cs="仿宋_GB2312"/>
          <w:sz w:val="32"/>
          <w:szCs w:val="32"/>
        </w:rPr>
        <w:t>〔</w:t>
      </w:r>
      <w:r>
        <w:rPr>
          <w:rFonts w:ascii="Times New Roman" w:hAnsi="Times New Roman" w:eastAsia="仿宋_GB2312" w:cs="仿宋_GB2312"/>
          <w:sz w:val="32"/>
          <w:szCs w:val="32"/>
        </w:rPr>
        <w:t>2020</w:t>
      </w:r>
      <w:r>
        <w:rPr>
          <w:rFonts w:ascii="仿宋_GB2312" w:hAnsi="仿宋_GB2312" w:eastAsia="仿宋_GB2312" w:cs="仿宋_GB2312"/>
          <w:sz w:val="32"/>
          <w:szCs w:val="32"/>
        </w:rPr>
        <w:t>〕</w:t>
      </w:r>
      <w:r>
        <w:rPr>
          <w:rFonts w:hint="eastAsia" w:ascii="Times New Roman" w:hAnsi="Times New Roman" w:eastAsia="仿宋_GB2312" w:cs="仿宋_GB2312"/>
          <w:sz w:val="32"/>
          <w:szCs w:val="32"/>
        </w:rPr>
        <w:t>5</w:t>
      </w:r>
      <w:r>
        <w:rPr>
          <w:rFonts w:ascii="仿宋_GB2312" w:hAnsi="仿宋_GB2312" w:eastAsia="仿宋_GB2312" w:cs="仿宋_GB2312"/>
          <w:sz w:val="32"/>
          <w:szCs w:val="32"/>
        </w:rPr>
        <w:t>号)</w:t>
      </w:r>
      <w:r>
        <w:rPr>
          <w:rFonts w:hint="eastAsia" w:ascii="仿宋_GB2312" w:hAnsi="仿宋_GB2312" w:eastAsia="仿宋_GB2312" w:cs="仿宋_GB2312"/>
          <w:sz w:val="32"/>
          <w:szCs w:val="32"/>
        </w:rPr>
        <w:t>。</w:t>
      </w:r>
    </w:p>
    <w:p>
      <w:pPr>
        <w:ind w:firstLine="640" w:firstLineChars="200"/>
        <w:outlineLvl w:val="1"/>
        <w:rPr>
          <w:rFonts w:ascii="楷体" w:hAnsi="楷体" w:eastAsia="楷体" w:cs="Times New Roman"/>
          <w:bCs/>
          <w:sz w:val="32"/>
          <w:szCs w:val="32"/>
        </w:rPr>
      </w:pPr>
      <w:bookmarkStart w:id="46" w:name="_Toc29290"/>
      <w:r>
        <w:rPr>
          <w:rFonts w:hint="eastAsia" w:ascii="楷体" w:hAnsi="楷体" w:eastAsia="楷体" w:cs="Times New Roman"/>
          <w:bCs/>
          <w:sz w:val="32"/>
          <w:szCs w:val="32"/>
        </w:rPr>
        <w:t>（五）绩效</w:t>
      </w:r>
      <w:r>
        <w:rPr>
          <w:rFonts w:ascii="楷体" w:hAnsi="楷体" w:eastAsia="楷体" w:cs="Times New Roman"/>
          <w:bCs/>
          <w:sz w:val="32"/>
          <w:szCs w:val="32"/>
        </w:rPr>
        <w:t>评价工作</w:t>
      </w:r>
      <w:r>
        <w:rPr>
          <w:rFonts w:hint="eastAsia" w:ascii="楷体" w:hAnsi="楷体" w:eastAsia="楷体" w:cs="Times New Roman"/>
          <w:bCs/>
          <w:sz w:val="32"/>
          <w:szCs w:val="32"/>
        </w:rPr>
        <w:t>过程</w:t>
      </w:r>
      <w:bookmarkEnd w:id="40"/>
      <w:bookmarkEnd w:id="41"/>
      <w:bookmarkEnd w:id="42"/>
      <w:bookmarkEnd w:id="43"/>
      <w:bookmarkEnd w:id="44"/>
      <w:bookmarkEnd w:id="46"/>
    </w:p>
    <w:p>
      <w:pPr>
        <w:ind w:firstLine="640" w:firstLineChars="200"/>
        <w:rPr>
          <w:rFonts w:ascii="仿宋_GB2312" w:hAnsi="仿宋_GB2312" w:eastAsia="仿宋_GB2312" w:cs="仿宋_GB2312"/>
          <w:sz w:val="32"/>
          <w:szCs w:val="32"/>
        </w:rPr>
      </w:pPr>
      <w:bookmarkStart w:id="47" w:name="_Toc512610846"/>
      <w:bookmarkStart w:id="48" w:name="_Toc40795445"/>
      <w:r>
        <w:rPr>
          <w:rFonts w:hint="eastAsia" w:ascii="仿宋_GB2312" w:hAnsi="仿宋_GB2312" w:eastAsia="仿宋_GB2312" w:cs="仿宋_GB2312"/>
          <w:sz w:val="32"/>
          <w:szCs w:val="32"/>
        </w:rPr>
        <w:t>为做好本次绩效评价工作，我公司成立了专门的绩效评价项目工作组，下设领导组、工作组，具体职责和人员构成如下：</w:t>
      </w:r>
    </w:p>
    <w:p>
      <w:pPr>
        <w:ind w:firstLine="643" w:firstLineChars="200"/>
        <w:rPr>
          <w:rFonts w:ascii="仿宋_GB2312" w:hAnsi="仿宋_GB2312" w:eastAsia="仿宋_GB2312" w:cs="仿宋_GB2312"/>
          <w:sz w:val="32"/>
          <w:szCs w:val="32"/>
        </w:rPr>
      </w:pPr>
      <w:r>
        <w:rPr>
          <w:rFonts w:hint="eastAsia" w:ascii="Times New Roman" w:hAnsi="Times New Roman" w:eastAsia="仿宋_GB2312" w:cs="仿宋_GB2312"/>
          <w:b/>
          <w:sz w:val="32"/>
          <w:szCs w:val="32"/>
        </w:rPr>
        <w:t>1</w:t>
      </w:r>
      <w:r>
        <w:rPr>
          <w:rFonts w:hint="eastAsia" w:ascii="仿宋_GB2312" w:hAnsi="仿宋_GB2312" w:eastAsia="仿宋_GB2312" w:cs="仿宋_GB2312"/>
          <w:b/>
          <w:sz w:val="32"/>
          <w:szCs w:val="32"/>
        </w:rPr>
        <w:t>.领导组（</w:t>
      </w:r>
      <w:r>
        <w:rPr>
          <w:rFonts w:hint="eastAsia" w:ascii="Times New Roman" w:hAnsi="Times New Roman" w:eastAsia="仿宋_GB2312" w:cs="仿宋_GB2312"/>
          <w:b/>
          <w:sz w:val="32"/>
          <w:szCs w:val="32"/>
        </w:rPr>
        <w:t>3</w:t>
      </w:r>
      <w:r>
        <w:rPr>
          <w:rFonts w:hint="eastAsia" w:ascii="仿宋_GB2312" w:hAnsi="仿宋_GB2312" w:eastAsia="仿宋_GB2312" w:cs="仿宋_GB2312"/>
          <w:b/>
          <w:sz w:val="32"/>
          <w:szCs w:val="32"/>
        </w:rPr>
        <w:t>人）。</w:t>
      </w:r>
      <w:r>
        <w:rPr>
          <w:rFonts w:hint="eastAsia" w:ascii="仿宋_GB2312" w:hAnsi="仿宋_GB2312" w:eastAsia="仿宋_GB2312" w:cs="仿宋_GB2312"/>
          <w:sz w:val="32"/>
          <w:szCs w:val="32"/>
        </w:rPr>
        <w:t>主要负责评价报告的制定，评价人员的组织培训、实施过程的组织协调和督导等。具体人员构成及职责分工情况见下表</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w:t>
      </w:r>
    </w:p>
    <w:p>
      <w:pPr>
        <w:autoSpaceDE w:val="0"/>
        <w:autoSpaceDN w:val="0"/>
        <w:adjustRightInd w:val="0"/>
        <w:spacing w:after="120" w:afterLines="50"/>
        <w:ind w:firstLine="200"/>
        <w:jc w:val="center"/>
        <w:rPr>
          <w:rFonts w:ascii="黑体" w:hAnsi="黑体" w:eastAsia="黑体" w:cs="仿宋_GB2312"/>
          <w:sz w:val="28"/>
          <w:szCs w:val="28"/>
        </w:rPr>
      </w:pPr>
      <w:r>
        <w:rPr>
          <w:rFonts w:ascii="黑体" w:hAnsi="黑体" w:eastAsia="黑体" w:cs="仿宋_GB2312"/>
          <w:sz w:val="28"/>
          <w:szCs w:val="28"/>
        </w:rPr>
        <w:t>表</w:t>
      </w:r>
      <w:r>
        <w:rPr>
          <w:rFonts w:hint="eastAsia" w:ascii="Times New Roman" w:hAnsi="Times New Roman" w:eastAsia="黑体" w:cs="仿宋_GB2312"/>
          <w:sz w:val="28"/>
          <w:szCs w:val="28"/>
        </w:rPr>
        <w:t>2</w:t>
      </w:r>
      <w:r>
        <w:rPr>
          <w:rFonts w:ascii="黑体" w:hAnsi="黑体" w:eastAsia="黑体" w:cs="仿宋_GB2312"/>
          <w:sz w:val="28"/>
          <w:szCs w:val="28"/>
        </w:rPr>
        <w:t>-</w:t>
      </w:r>
      <w:r>
        <w:rPr>
          <w:rFonts w:ascii="Times New Roman" w:hAnsi="Times New Roman" w:eastAsia="黑体" w:cs="仿宋_GB2312"/>
          <w:sz w:val="28"/>
          <w:szCs w:val="28"/>
        </w:rPr>
        <w:t>2</w:t>
      </w:r>
      <w:r>
        <w:rPr>
          <w:rFonts w:hint="eastAsia" w:ascii="黑体" w:hAnsi="黑体" w:eastAsia="黑体" w:cs="仿宋_GB2312"/>
          <w:sz w:val="28"/>
          <w:szCs w:val="28"/>
        </w:rPr>
        <w:t>：</w:t>
      </w:r>
      <w:r>
        <w:rPr>
          <w:rFonts w:ascii="黑体" w:hAnsi="黑体" w:eastAsia="黑体" w:cs="仿宋_GB2312"/>
          <w:sz w:val="28"/>
          <w:szCs w:val="28"/>
        </w:rPr>
        <w:t>领导组人员</w:t>
      </w:r>
      <w:r>
        <w:rPr>
          <w:rFonts w:hint="eastAsia" w:ascii="黑体" w:hAnsi="黑体" w:eastAsia="黑体" w:cs="仿宋_GB2312"/>
          <w:sz w:val="28"/>
          <w:szCs w:val="28"/>
        </w:rPr>
        <w:t>构成及</w:t>
      </w:r>
      <w:r>
        <w:rPr>
          <w:rFonts w:ascii="黑体" w:hAnsi="黑体" w:eastAsia="黑体" w:cs="仿宋_GB2312"/>
          <w:sz w:val="28"/>
          <w:szCs w:val="28"/>
        </w:rPr>
        <w:t>分工表</w:t>
      </w:r>
    </w:p>
    <w:tbl>
      <w:tblPr>
        <w:tblStyle w:val="18"/>
        <w:tblW w:w="8946" w:type="dxa"/>
        <w:tblInd w:w="93" w:type="dxa"/>
        <w:tblLayout w:type="fixed"/>
        <w:tblCellMar>
          <w:top w:w="0" w:type="dxa"/>
          <w:left w:w="108" w:type="dxa"/>
          <w:bottom w:w="0" w:type="dxa"/>
          <w:right w:w="108" w:type="dxa"/>
        </w:tblCellMar>
      </w:tblPr>
      <w:tblGrid>
        <w:gridCol w:w="1291"/>
        <w:gridCol w:w="1276"/>
        <w:gridCol w:w="2126"/>
        <w:gridCol w:w="4253"/>
      </w:tblGrid>
      <w:tr>
        <w:tblPrEx>
          <w:tblCellMar>
            <w:top w:w="0" w:type="dxa"/>
            <w:left w:w="108" w:type="dxa"/>
            <w:bottom w:w="0" w:type="dxa"/>
            <w:right w:w="108" w:type="dxa"/>
          </w:tblCellMar>
        </w:tblPrEx>
        <w:trPr>
          <w:trHeight w:val="432" w:hRule="atLeast"/>
          <w:tblHeader/>
        </w:trPr>
        <w:tc>
          <w:tcPr>
            <w:tcW w:w="1291"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line="240" w:lineRule="auto"/>
              <w:ind w:firstLine="200"/>
              <w:jc w:val="center"/>
              <w:rPr>
                <w:rFonts w:cs="Times New Roman"/>
                <w:b/>
                <w:sz w:val="20"/>
                <w:szCs w:val="20"/>
              </w:rPr>
            </w:pPr>
            <w:r>
              <w:rPr>
                <w:rFonts w:hint="eastAsia" w:cs="Times New Roman"/>
                <w:b/>
                <w:sz w:val="20"/>
                <w:szCs w:val="20"/>
              </w:rPr>
              <w:t>名 称</w:t>
            </w:r>
          </w:p>
        </w:tc>
        <w:tc>
          <w:tcPr>
            <w:tcW w:w="1276"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spacing w:line="240" w:lineRule="auto"/>
              <w:ind w:firstLine="200"/>
              <w:jc w:val="center"/>
              <w:rPr>
                <w:rFonts w:cs="Times New Roman"/>
                <w:b/>
                <w:sz w:val="20"/>
                <w:szCs w:val="20"/>
              </w:rPr>
            </w:pPr>
            <w:r>
              <w:rPr>
                <w:rFonts w:cs="Times New Roman"/>
                <w:b/>
                <w:sz w:val="20"/>
                <w:szCs w:val="20"/>
              </w:rPr>
              <w:t>姓名</w:t>
            </w:r>
          </w:p>
        </w:tc>
        <w:tc>
          <w:tcPr>
            <w:tcW w:w="2126"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spacing w:line="240" w:lineRule="auto"/>
              <w:ind w:firstLine="200"/>
              <w:jc w:val="center"/>
              <w:rPr>
                <w:rFonts w:cs="Times New Roman"/>
                <w:b/>
                <w:sz w:val="20"/>
                <w:szCs w:val="20"/>
              </w:rPr>
            </w:pPr>
            <w:r>
              <w:rPr>
                <w:rFonts w:cs="Times New Roman"/>
                <w:b/>
                <w:sz w:val="20"/>
                <w:szCs w:val="20"/>
              </w:rPr>
              <w:t>职务</w:t>
            </w:r>
          </w:p>
        </w:tc>
        <w:tc>
          <w:tcPr>
            <w:tcW w:w="4253"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spacing w:line="240" w:lineRule="auto"/>
              <w:ind w:firstLine="200"/>
              <w:jc w:val="center"/>
              <w:rPr>
                <w:rFonts w:cs="Times New Roman"/>
                <w:b/>
                <w:sz w:val="20"/>
                <w:szCs w:val="20"/>
              </w:rPr>
            </w:pPr>
            <w:r>
              <w:rPr>
                <w:rFonts w:cs="Times New Roman"/>
                <w:b/>
                <w:sz w:val="20"/>
                <w:szCs w:val="20"/>
              </w:rPr>
              <w:t>职责分工</w:t>
            </w:r>
          </w:p>
        </w:tc>
      </w:tr>
      <w:tr>
        <w:tblPrEx>
          <w:tblCellMar>
            <w:top w:w="0" w:type="dxa"/>
            <w:left w:w="108" w:type="dxa"/>
            <w:bottom w:w="0" w:type="dxa"/>
            <w:right w:w="108" w:type="dxa"/>
          </w:tblCellMar>
        </w:tblPrEx>
        <w:trPr>
          <w:trHeight w:val="410" w:hRule="atLeast"/>
        </w:trPr>
        <w:tc>
          <w:tcPr>
            <w:tcW w:w="1291" w:type="dxa"/>
            <w:tcBorders>
              <w:top w:val="nil"/>
              <w:left w:val="single" w:color="auto" w:sz="4" w:space="0"/>
              <w:bottom w:val="single" w:color="auto" w:sz="4" w:space="0"/>
              <w:right w:val="single" w:color="auto" w:sz="4" w:space="0"/>
            </w:tcBorders>
            <w:vAlign w:val="center"/>
          </w:tcPr>
          <w:p>
            <w:pPr>
              <w:spacing w:line="240" w:lineRule="auto"/>
              <w:jc w:val="center"/>
              <w:rPr>
                <w:rFonts w:cs="Times New Roman"/>
                <w:sz w:val="20"/>
                <w:szCs w:val="20"/>
              </w:rPr>
            </w:pPr>
            <w:r>
              <w:rPr>
                <w:rFonts w:cs="Times New Roman"/>
                <w:sz w:val="20"/>
                <w:szCs w:val="20"/>
              </w:rPr>
              <w:t>组长</w:t>
            </w:r>
          </w:p>
        </w:tc>
        <w:tc>
          <w:tcPr>
            <w:tcW w:w="1276" w:type="dxa"/>
            <w:tcBorders>
              <w:top w:val="nil"/>
              <w:left w:val="nil"/>
              <w:bottom w:val="single" w:color="auto" w:sz="4" w:space="0"/>
              <w:right w:val="single" w:color="auto" w:sz="4" w:space="0"/>
            </w:tcBorders>
            <w:vAlign w:val="center"/>
          </w:tcPr>
          <w:p>
            <w:pPr>
              <w:spacing w:line="240" w:lineRule="auto"/>
              <w:jc w:val="center"/>
              <w:rPr>
                <w:rFonts w:cs="Times New Roman"/>
                <w:sz w:val="20"/>
                <w:szCs w:val="20"/>
              </w:rPr>
            </w:pPr>
            <w:r>
              <w:rPr>
                <w:rFonts w:hint="eastAsia" w:cs="Times New Roman"/>
                <w:sz w:val="20"/>
                <w:szCs w:val="20"/>
              </w:rPr>
              <w:t>张爱平</w:t>
            </w:r>
          </w:p>
        </w:tc>
        <w:tc>
          <w:tcPr>
            <w:tcW w:w="2126" w:type="dxa"/>
            <w:tcBorders>
              <w:top w:val="nil"/>
              <w:left w:val="nil"/>
              <w:bottom w:val="single" w:color="auto" w:sz="4" w:space="0"/>
              <w:right w:val="single" w:color="auto" w:sz="4" w:space="0"/>
            </w:tcBorders>
            <w:vAlign w:val="center"/>
          </w:tcPr>
          <w:p>
            <w:pPr>
              <w:spacing w:line="240" w:lineRule="auto"/>
              <w:jc w:val="center"/>
              <w:rPr>
                <w:rFonts w:cs="Times New Roman"/>
                <w:sz w:val="20"/>
                <w:szCs w:val="20"/>
              </w:rPr>
            </w:pPr>
            <w:r>
              <w:rPr>
                <w:rFonts w:hint="eastAsia" w:cs="Times New Roman"/>
                <w:sz w:val="20"/>
                <w:szCs w:val="20"/>
              </w:rPr>
              <w:t>项目负责人</w:t>
            </w:r>
          </w:p>
        </w:tc>
        <w:tc>
          <w:tcPr>
            <w:tcW w:w="4253" w:type="dxa"/>
            <w:tcBorders>
              <w:top w:val="nil"/>
              <w:left w:val="nil"/>
              <w:bottom w:val="single" w:color="auto" w:sz="4" w:space="0"/>
              <w:right w:val="single" w:color="auto" w:sz="4" w:space="0"/>
            </w:tcBorders>
            <w:vAlign w:val="center"/>
          </w:tcPr>
          <w:p>
            <w:pPr>
              <w:spacing w:line="240" w:lineRule="auto"/>
              <w:jc w:val="center"/>
              <w:rPr>
                <w:rFonts w:cs="Times New Roman"/>
                <w:sz w:val="20"/>
                <w:szCs w:val="20"/>
              </w:rPr>
            </w:pPr>
            <w:r>
              <w:rPr>
                <w:rFonts w:hint="eastAsia" w:cs="Times New Roman"/>
                <w:sz w:val="20"/>
                <w:szCs w:val="20"/>
              </w:rPr>
              <w:t>负责项目统筹协调、组织实施</w:t>
            </w:r>
          </w:p>
        </w:tc>
      </w:tr>
      <w:tr>
        <w:trPr>
          <w:trHeight w:val="417" w:hRule="atLeast"/>
        </w:trPr>
        <w:tc>
          <w:tcPr>
            <w:tcW w:w="1291" w:type="dxa"/>
            <w:tcBorders>
              <w:top w:val="nil"/>
              <w:left w:val="single" w:color="auto" w:sz="4" w:space="0"/>
              <w:bottom w:val="single" w:color="auto" w:sz="4" w:space="0"/>
              <w:right w:val="single" w:color="auto" w:sz="4" w:space="0"/>
            </w:tcBorders>
            <w:vAlign w:val="center"/>
          </w:tcPr>
          <w:p>
            <w:pPr>
              <w:spacing w:line="240" w:lineRule="auto"/>
              <w:jc w:val="center"/>
              <w:rPr>
                <w:rFonts w:cs="Times New Roman"/>
                <w:sz w:val="20"/>
                <w:szCs w:val="20"/>
              </w:rPr>
            </w:pPr>
            <w:r>
              <w:rPr>
                <w:rFonts w:cs="Times New Roman"/>
                <w:sz w:val="20"/>
                <w:szCs w:val="20"/>
              </w:rPr>
              <w:t>副组长</w:t>
            </w:r>
          </w:p>
        </w:tc>
        <w:tc>
          <w:tcPr>
            <w:tcW w:w="1276" w:type="dxa"/>
            <w:tcBorders>
              <w:top w:val="nil"/>
              <w:left w:val="nil"/>
              <w:bottom w:val="single" w:color="auto" w:sz="4" w:space="0"/>
              <w:right w:val="single" w:color="auto" w:sz="4" w:space="0"/>
            </w:tcBorders>
            <w:vAlign w:val="center"/>
          </w:tcPr>
          <w:p>
            <w:pPr>
              <w:spacing w:line="240" w:lineRule="auto"/>
              <w:jc w:val="center"/>
              <w:rPr>
                <w:rFonts w:cs="Times New Roman"/>
                <w:sz w:val="20"/>
                <w:szCs w:val="20"/>
              </w:rPr>
            </w:pPr>
            <w:r>
              <w:rPr>
                <w:rFonts w:hint="eastAsia" w:cs="Times New Roman"/>
                <w:sz w:val="20"/>
                <w:szCs w:val="20"/>
              </w:rPr>
              <w:t>孙亚军</w:t>
            </w:r>
          </w:p>
        </w:tc>
        <w:tc>
          <w:tcPr>
            <w:tcW w:w="2126" w:type="dxa"/>
            <w:tcBorders>
              <w:top w:val="nil"/>
              <w:left w:val="nil"/>
              <w:bottom w:val="single" w:color="auto" w:sz="4" w:space="0"/>
              <w:right w:val="single" w:color="auto" w:sz="4" w:space="0"/>
            </w:tcBorders>
            <w:vAlign w:val="center"/>
          </w:tcPr>
          <w:p>
            <w:pPr>
              <w:spacing w:line="240" w:lineRule="auto"/>
              <w:jc w:val="center"/>
              <w:rPr>
                <w:rFonts w:cs="Times New Roman"/>
                <w:sz w:val="20"/>
                <w:szCs w:val="20"/>
              </w:rPr>
            </w:pPr>
            <w:r>
              <w:rPr>
                <w:rFonts w:hint="eastAsia" w:cs="Times New Roman"/>
                <w:sz w:val="20"/>
                <w:szCs w:val="20"/>
              </w:rPr>
              <w:t>项目经理</w:t>
            </w:r>
          </w:p>
        </w:tc>
        <w:tc>
          <w:tcPr>
            <w:tcW w:w="4253" w:type="dxa"/>
            <w:tcBorders>
              <w:top w:val="nil"/>
              <w:left w:val="nil"/>
              <w:bottom w:val="single" w:color="auto" w:sz="4" w:space="0"/>
              <w:right w:val="single" w:color="auto" w:sz="4" w:space="0"/>
            </w:tcBorders>
            <w:vAlign w:val="center"/>
          </w:tcPr>
          <w:p>
            <w:pPr>
              <w:spacing w:line="240" w:lineRule="auto"/>
              <w:jc w:val="center"/>
              <w:rPr>
                <w:rFonts w:cs="Times New Roman"/>
                <w:sz w:val="20"/>
                <w:szCs w:val="20"/>
              </w:rPr>
            </w:pPr>
            <w:r>
              <w:rPr>
                <w:rFonts w:hint="eastAsia" w:cs="Times New Roman"/>
                <w:sz w:val="20"/>
                <w:szCs w:val="20"/>
              </w:rPr>
              <w:t>负责撰写评价报告</w:t>
            </w:r>
          </w:p>
        </w:tc>
      </w:tr>
      <w:tr>
        <w:tblPrEx>
          <w:tblCellMar>
            <w:top w:w="0" w:type="dxa"/>
            <w:left w:w="108" w:type="dxa"/>
            <w:bottom w:w="0" w:type="dxa"/>
            <w:right w:w="108" w:type="dxa"/>
          </w:tblCellMar>
        </w:tblPrEx>
        <w:trPr>
          <w:trHeight w:val="406" w:hRule="atLeast"/>
        </w:trPr>
        <w:tc>
          <w:tcPr>
            <w:tcW w:w="1291" w:type="dxa"/>
            <w:tcBorders>
              <w:top w:val="nil"/>
              <w:left w:val="single" w:color="auto" w:sz="4" w:space="0"/>
              <w:bottom w:val="single" w:color="auto" w:sz="4" w:space="0"/>
              <w:right w:val="single" w:color="auto" w:sz="4" w:space="0"/>
            </w:tcBorders>
            <w:vAlign w:val="center"/>
          </w:tcPr>
          <w:p>
            <w:pPr>
              <w:spacing w:line="240" w:lineRule="auto"/>
              <w:jc w:val="center"/>
              <w:rPr>
                <w:rFonts w:cs="Times New Roman"/>
                <w:sz w:val="20"/>
                <w:szCs w:val="20"/>
              </w:rPr>
            </w:pPr>
            <w:r>
              <w:rPr>
                <w:rFonts w:hint="eastAsia" w:cs="Times New Roman"/>
                <w:sz w:val="20"/>
                <w:szCs w:val="20"/>
              </w:rPr>
              <w:t>副组长</w:t>
            </w:r>
          </w:p>
        </w:tc>
        <w:tc>
          <w:tcPr>
            <w:tcW w:w="1276" w:type="dxa"/>
            <w:tcBorders>
              <w:top w:val="nil"/>
              <w:left w:val="nil"/>
              <w:bottom w:val="single" w:color="auto" w:sz="4" w:space="0"/>
              <w:right w:val="single" w:color="auto" w:sz="4" w:space="0"/>
            </w:tcBorders>
            <w:vAlign w:val="center"/>
          </w:tcPr>
          <w:p>
            <w:pPr>
              <w:spacing w:line="240" w:lineRule="auto"/>
              <w:jc w:val="center"/>
              <w:rPr>
                <w:rFonts w:cs="Times New Roman"/>
                <w:sz w:val="20"/>
                <w:szCs w:val="20"/>
              </w:rPr>
            </w:pPr>
            <w:r>
              <w:rPr>
                <w:rFonts w:hint="eastAsia" w:cs="Times New Roman"/>
                <w:sz w:val="20"/>
                <w:szCs w:val="20"/>
              </w:rPr>
              <w:t>李俊岭</w:t>
            </w:r>
          </w:p>
        </w:tc>
        <w:tc>
          <w:tcPr>
            <w:tcW w:w="2126" w:type="dxa"/>
            <w:tcBorders>
              <w:top w:val="nil"/>
              <w:left w:val="nil"/>
              <w:bottom w:val="single" w:color="auto" w:sz="4" w:space="0"/>
              <w:right w:val="single" w:color="auto" w:sz="4" w:space="0"/>
            </w:tcBorders>
            <w:vAlign w:val="center"/>
          </w:tcPr>
          <w:p>
            <w:pPr>
              <w:spacing w:line="240" w:lineRule="auto"/>
              <w:jc w:val="center"/>
              <w:rPr>
                <w:rFonts w:cs="Times New Roman"/>
                <w:sz w:val="20"/>
                <w:szCs w:val="20"/>
              </w:rPr>
            </w:pPr>
            <w:r>
              <w:rPr>
                <w:rFonts w:hint="eastAsia" w:cs="Times New Roman"/>
                <w:sz w:val="20"/>
                <w:szCs w:val="20"/>
              </w:rPr>
              <w:t>质控负责人</w:t>
            </w:r>
          </w:p>
        </w:tc>
        <w:tc>
          <w:tcPr>
            <w:tcW w:w="4253" w:type="dxa"/>
            <w:tcBorders>
              <w:top w:val="nil"/>
              <w:left w:val="nil"/>
              <w:bottom w:val="single" w:color="auto" w:sz="4" w:space="0"/>
              <w:right w:val="single" w:color="auto" w:sz="4" w:space="0"/>
            </w:tcBorders>
            <w:vAlign w:val="center"/>
          </w:tcPr>
          <w:p>
            <w:pPr>
              <w:spacing w:line="240" w:lineRule="auto"/>
              <w:jc w:val="center"/>
              <w:rPr>
                <w:rFonts w:cs="Times New Roman"/>
                <w:sz w:val="20"/>
                <w:szCs w:val="20"/>
              </w:rPr>
            </w:pPr>
            <w:r>
              <w:rPr>
                <w:rFonts w:hint="eastAsia" w:cs="Times New Roman"/>
                <w:sz w:val="20"/>
                <w:szCs w:val="20"/>
              </w:rPr>
              <w:t>负责评价报告、评价报告的质量审查</w:t>
            </w:r>
          </w:p>
        </w:tc>
      </w:tr>
    </w:tbl>
    <w:p>
      <w:pPr>
        <w:spacing w:before="100" w:beforeAutospacing="1"/>
        <w:ind w:firstLine="643" w:firstLineChars="200"/>
        <w:rPr>
          <w:rFonts w:ascii="仿宋_GB2312" w:hAnsi="仿宋_GB2312" w:eastAsia="仿宋_GB2312" w:cs="仿宋_GB2312"/>
          <w:sz w:val="32"/>
          <w:szCs w:val="32"/>
        </w:rPr>
      </w:pPr>
      <w:r>
        <w:rPr>
          <w:rFonts w:hint="eastAsia" w:ascii="Times New Roman" w:hAnsi="Times New Roman" w:eastAsia="仿宋_GB2312" w:cs="仿宋_GB2312"/>
          <w:b/>
          <w:sz w:val="32"/>
          <w:szCs w:val="32"/>
        </w:rPr>
        <w:t>2</w:t>
      </w:r>
      <w:r>
        <w:rPr>
          <w:rFonts w:hint="eastAsia" w:ascii="仿宋_GB2312" w:hAnsi="仿宋_GB2312" w:eastAsia="仿宋_GB2312" w:cs="仿宋_GB2312"/>
          <w:b/>
          <w:sz w:val="32"/>
          <w:szCs w:val="32"/>
        </w:rPr>
        <w:t>.工作组（</w:t>
      </w:r>
      <w:r>
        <w:rPr>
          <w:rFonts w:hint="eastAsia" w:ascii="Times New Roman" w:hAnsi="Times New Roman" w:eastAsia="仿宋_GB2312" w:cs="仿宋_GB2312"/>
          <w:b/>
          <w:sz w:val="32"/>
          <w:szCs w:val="32"/>
        </w:rPr>
        <w:t>4</w:t>
      </w:r>
      <w:r>
        <w:rPr>
          <w:rFonts w:hint="eastAsia" w:ascii="仿宋_GB2312" w:hAnsi="仿宋_GB2312" w:eastAsia="仿宋_GB2312" w:cs="仿宋_GB2312"/>
          <w:b/>
          <w:sz w:val="32"/>
          <w:szCs w:val="32"/>
        </w:rPr>
        <w:t>人）。</w:t>
      </w:r>
      <w:r>
        <w:rPr>
          <w:rFonts w:hint="eastAsia" w:ascii="仿宋_GB2312" w:hAnsi="仿宋_GB2312" w:eastAsia="仿宋_GB2312" w:cs="仿宋_GB2312"/>
          <w:sz w:val="32"/>
          <w:szCs w:val="32"/>
        </w:rPr>
        <w:t>主要负责现场勘察，包括查阅收集相关的制度文件、项目资料、财务资料，开展问卷调查，撰写调查报告等工作。根据本项目的特点，工作组分为</w:t>
      </w:r>
      <w:r>
        <w:rPr>
          <w:rFonts w:ascii="Times New Roman" w:hAnsi="Times New Roman" w:eastAsia="仿宋_GB2312" w:cs="仿宋_GB2312"/>
          <w:sz w:val="32"/>
          <w:szCs w:val="32"/>
        </w:rPr>
        <w:t>2</w:t>
      </w:r>
      <w:r>
        <w:rPr>
          <w:rFonts w:hint="eastAsia" w:ascii="仿宋_GB2312" w:hAnsi="仿宋_GB2312" w:eastAsia="仿宋_GB2312" w:cs="仿宋_GB2312"/>
          <w:sz w:val="32"/>
          <w:szCs w:val="32"/>
        </w:rPr>
        <w:t>个小组，每组设组长</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人、助理</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w:t>
      </w:r>
      <w:bookmarkStart w:id="49" w:name="_Toc478814038"/>
      <w:bookmarkStart w:id="50" w:name="_Toc32353"/>
      <w:bookmarkStart w:id="51" w:name="_Toc485130635"/>
      <w:r>
        <w:rPr>
          <w:rFonts w:hint="eastAsia" w:ascii="仿宋_GB2312" w:hAnsi="仿宋_GB2312" w:eastAsia="仿宋_GB2312" w:cs="仿宋_GB2312"/>
          <w:sz w:val="32"/>
          <w:szCs w:val="32"/>
        </w:rPr>
        <w:t>分工负责环节的工作。具体人员构成及职责分工情况见下表</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w:t>
      </w:r>
    </w:p>
    <w:p>
      <w:pPr>
        <w:autoSpaceDE w:val="0"/>
        <w:autoSpaceDN w:val="0"/>
        <w:adjustRightInd w:val="0"/>
        <w:spacing w:after="120" w:afterLines="50"/>
        <w:ind w:firstLine="198"/>
        <w:jc w:val="center"/>
        <w:rPr>
          <w:rFonts w:ascii="黑体" w:hAnsi="黑体" w:eastAsia="黑体" w:cs="仿宋_GB2312"/>
          <w:sz w:val="28"/>
          <w:szCs w:val="28"/>
        </w:rPr>
      </w:pPr>
      <w:r>
        <w:rPr>
          <w:rFonts w:ascii="黑体" w:hAnsi="黑体" w:eastAsia="黑体" w:cs="仿宋_GB2312"/>
          <w:sz w:val="28"/>
          <w:szCs w:val="28"/>
        </w:rPr>
        <w:t>表</w:t>
      </w:r>
      <w:r>
        <w:rPr>
          <w:rFonts w:hint="eastAsia" w:ascii="Times New Roman" w:hAnsi="Times New Roman" w:eastAsia="黑体" w:cs="仿宋_GB2312"/>
          <w:sz w:val="28"/>
          <w:szCs w:val="28"/>
        </w:rPr>
        <w:t>2</w:t>
      </w:r>
      <w:r>
        <w:rPr>
          <w:rFonts w:ascii="黑体" w:hAnsi="黑体" w:eastAsia="黑体" w:cs="仿宋_GB2312"/>
          <w:sz w:val="28"/>
          <w:szCs w:val="28"/>
        </w:rPr>
        <w:t>-</w:t>
      </w:r>
      <w:r>
        <w:rPr>
          <w:rFonts w:hint="eastAsia" w:ascii="Times New Roman" w:hAnsi="Times New Roman" w:eastAsia="黑体" w:cs="仿宋_GB2312"/>
          <w:sz w:val="28"/>
          <w:szCs w:val="28"/>
        </w:rPr>
        <w:t>3</w:t>
      </w:r>
      <w:r>
        <w:rPr>
          <w:rFonts w:hint="eastAsia" w:ascii="黑体" w:hAnsi="黑体" w:eastAsia="黑体" w:cs="仿宋_GB2312"/>
          <w:sz w:val="28"/>
          <w:szCs w:val="28"/>
        </w:rPr>
        <w:t>：工作</w:t>
      </w:r>
      <w:r>
        <w:rPr>
          <w:rFonts w:ascii="黑体" w:hAnsi="黑体" w:eastAsia="黑体" w:cs="仿宋_GB2312"/>
          <w:sz w:val="28"/>
          <w:szCs w:val="28"/>
        </w:rPr>
        <w:t>组人员</w:t>
      </w:r>
      <w:r>
        <w:rPr>
          <w:rFonts w:hint="eastAsia" w:ascii="黑体" w:hAnsi="黑体" w:eastAsia="黑体" w:cs="仿宋_GB2312"/>
          <w:sz w:val="28"/>
          <w:szCs w:val="28"/>
        </w:rPr>
        <w:t>构成及</w:t>
      </w:r>
      <w:r>
        <w:rPr>
          <w:rFonts w:ascii="黑体" w:hAnsi="黑体" w:eastAsia="黑体" w:cs="仿宋_GB2312"/>
          <w:sz w:val="28"/>
          <w:szCs w:val="28"/>
        </w:rPr>
        <w:t>分工表</w:t>
      </w:r>
    </w:p>
    <w:bookmarkEnd w:id="49"/>
    <w:bookmarkEnd w:id="50"/>
    <w:bookmarkEnd w:id="51"/>
    <w:tbl>
      <w:tblPr>
        <w:tblStyle w:val="18"/>
        <w:tblW w:w="8598" w:type="dxa"/>
        <w:jc w:val="center"/>
        <w:tblLayout w:type="fixed"/>
        <w:tblCellMar>
          <w:top w:w="0" w:type="dxa"/>
          <w:left w:w="108" w:type="dxa"/>
          <w:bottom w:w="0" w:type="dxa"/>
          <w:right w:w="108" w:type="dxa"/>
        </w:tblCellMar>
      </w:tblPr>
      <w:tblGrid>
        <w:gridCol w:w="1407"/>
        <w:gridCol w:w="1521"/>
        <w:gridCol w:w="1958"/>
        <w:gridCol w:w="3712"/>
      </w:tblGrid>
      <w:tr>
        <w:tblPrEx>
          <w:tblCellMar>
            <w:top w:w="0" w:type="dxa"/>
            <w:left w:w="108" w:type="dxa"/>
            <w:bottom w:w="0" w:type="dxa"/>
            <w:right w:w="108" w:type="dxa"/>
          </w:tblCellMar>
        </w:tblPrEx>
        <w:trPr>
          <w:trHeight w:val="504" w:hRule="atLeast"/>
          <w:tblHeader/>
          <w:jc w:val="center"/>
        </w:trPr>
        <w:tc>
          <w:tcPr>
            <w:tcW w:w="1407"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jc w:val="center"/>
              <w:rPr>
                <w:b/>
                <w:bCs/>
                <w:sz w:val="20"/>
                <w:szCs w:val="20"/>
              </w:rPr>
            </w:pPr>
            <w:r>
              <w:rPr>
                <w:rFonts w:hint="eastAsia"/>
                <w:b/>
                <w:bCs/>
                <w:sz w:val="20"/>
                <w:szCs w:val="20"/>
              </w:rPr>
              <w:t>名 称</w:t>
            </w:r>
          </w:p>
        </w:tc>
        <w:tc>
          <w:tcPr>
            <w:tcW w:w="1521"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jc w:val="center"/>
              <w:rPr>
                <w:b/>
                <w:bCs/>
                <w:sz w:val="20"/>
                <w:szCs w:val="20"/>
              </w:rPr>
            </w:pPr>
            <w:r>
              <w:rPr>
                <w:rFonts w:hint="eastAsia"/>
                <w:b/>
                <w:bCs/>
                <w:sz w:val="20"/>
                <w:szCs w:val="20"/>
              </w:rPr>
              <w:t>职务</w:t>
            </w:r>
          </w:p>
        </w:tc>
        <w:tc>
          <w:tcPr>
            <w:tcW w:w="1958"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jc w:val="center"/>
              <w:rPr>
                <w:b/>
                <w:bCs/>
                <w:sz w:val="20"/>
                <w:szCs w:val="20"/>
              </w:rPr>
            </w:pPr>
            <w:r>
              <w:rPr>
                <w:rFonts w:hint="eastAsia"/>
                <w:b/>
                <w:bCs/>
                <w:sz w:val="20"/>
                <w:szCs w:val="20"/>
              </w:rPr>
              <w:t>姓名</w:t>
            </w:r>
          </w:p>
        </w:tc>
        <w:tc>
          <w:tcPr>
            <w:tcW w:w="3712"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jc w:val="center"/>
              <w:rPr>
                <w:b/>
                <w:bCs/>
                <w:sz w:val="20"/>
                <w:szCs w:val="20"/>
              </w:rPr>
            </w:pPr>
            <w:r>
              <w:rPr>
                <w:rFonts w:hint="eastAsia"/>
                <w:b/>
                <w:bCs/>
                <w:sz w:val="20"/>
                <w:szCs w:val="20"/>
              </w:rPr>
              <w:t>职责分工</w:t>
            </w:r>
          </w:p>
        </w:tc>
      </w:tr>
      <w:tr>
        <w:tblPrEx>
          <w:tblCellMar>
            <w:top w:w="0" w:type="dxa"/>
            <w:left w:w="108" w:type="dxa"/>
            <w:bottom w:w="0" w:type="dxa"/>
            <w:right w:w="108" w:type="dxa"/>
          </w:tblCellMar>
        </w:tblPrEx>
        <w:trPr>
          <w:trHeight w:val="327" w:hRule="atLeast"/>
          <w:jc w:val="center"/>
        </w:trPr>
        <w:tc>
          <w:tcPr>
            <w:tcW w:w="1407"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sz w:val="20"/>
                <w:szCs w:val="20"/>
              </w:rPr>
            </w:pPr>
            <w:r>
              <w:rPr>
                <w:rFonts w:hint="eastAsia"/>
                <w:sz w:val="20"/>
                <w:szCs w:val="20"/>
              </w:rPr>
              <w:t>第一小组</w:t>
            </w:r>
          </w:p>
        </w:tc>
        <w:tc>
          <w:tcPr>
            <w:tcW w:w="1521" w:type="dxa"/>
            <w:tcBorders>
              <w:top w:val="nil"/>
              <w:left w:val="nil"/>
              <w:bottom w:val="single" w:color="auto" w:sz="4" w:space="0"/>
              <w:right w:val="single" w:color="auto" w:sz="4" w:space="0"/>
            </w:tcBorders>
            <w:shd w:val="clear" w:color="auto" w:fill="auto"/>
            <w:vAlign w:val="center"/>
          </w:tcPr>
          <w:p>
            <w:pPr>
              <w:spacing w:line="240" w:lineRule="auto"/>
              <w:jc w:val="center"/>
              <w:rPr>
                <w:sz w:val="20"/>
                <w:szCs w:val="20"/>
              </w:rPr>
            </w:pPr>
            <w:r>
              <w:rPr>
                <w:rFonts w:hint="eastAsia"/>
                <w:sz w:val="20"/>
                <w:szCs w:val="20"/>
              </w:rPr>
              <w:t>组长</w:t>
            </w:r>
          </w:p>
        </w:tc>
        <w:tc>
          <w:tcPr>
            <w:tcW w:w="1958" w:type="dxa"/>
            <w:tcBorders>
              <w:top w:val="nil"/>
              <w:left w:val="nil"/>
              <w:bottom w:val="single" w:color="auto" w:sz="4" w:space="0"/>
              <w:right w:val="single" w:color="auto" w:sz="4" w:space="0"/>
            </w:tcBorders>
            <w:shd w:val="clear" w:color="auto" w:fill="auto"/>
            <w:vAlign w:val="center"/>
          </w:tcPr>
          <w:p>
            <w:pPr>
              <w:spacing w:line="240" w:lineRule="auto"/>
              <w:jc w:val="center"/>
              <w:rPr>
                <w:sz w:val="20"/>
                <w:szCs w:val="20"/>
              </w:rPr>
            </w:pPr>
            <w:r>
              <w:rPr>
                <w:rFonts w:hint="eastAsia"/>
                <w:sz w:val="20"/>
                <w:szCs w:val="20"/>
              </w:rPr>
              <w:t>曹晓宇</w:t>
            </w:r>
          </w:p>
        </w:tc>
        <w:tc>
          <w:tcPr>
            <w:tcW w:w="3712"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sz w:val="20"/>
                <w:szCs w:val="20"/>
              </w:rPr>
            </w:pPr>
            <w:r>
              <w:rPr>
                <w:rFonts w:hint="eastAsia"/>
                <w:sz w:val="20"/>
                <w:szCs w:val="20"/>
              </w:rPr>
              <w:t>负责现场获取资料、梳理资料</w:t>
            </w:r>
          </w:p>
        </w:tc>
      </w:tr>
      <w:tr>
        <w:tblPrEx>
          <w:tblCellMar>
            <w:top w:w="0" w:type="dxa"/>
            <w:left w:w="108" w:type="dxa"/>
            <w:bottom w:w="0" w:type="dxa"/>
            <w:right w:w="108" w:type="dxa"/>
          </w:tblCellMar>
        </w:tblPrEx>
        <w:trPr>
          <w:trHeight w:val="327" w:hRule="atLeast"/>
          <w:jc w:val="center"/>
        </w:trPr>
        <w:tc>
          <w:tcPr>
            <w:tcW w:w="1407" w:type="dxa"/>
            <w:vMerge w:val="continue"/>
            <w:tcBorders>
              <w:top w:val="nil"/>
              <w:left w:val="single" w:color="auto" w:sz="4" w:space="0"/>
              <w:bottom w:val="single" w:color="auto" w:sz="4" w:space="0"/>
              <w:right w:val="single" w:color="auto" w:sz="4" w:space="0"/>
            </w:tcBorders>
            <w:vAlign w:val="center"/>
          </w:tcPr>
          <w:p>
            <w:pPr>
              <w:spacing w:line="240" w:lineRule="auto"/>
              <w:rPr>
                <w:sz w:val="20"/>
                <w:szCs w:val="20"/>
              </w:rPr>
            </w:pPr>
          </w:p>
        </w:tc>
        <w:tc>
          <w:tcPr>
            <w:tcW w:w="1521" w:type="dxa"/>
            <w:tcBorders>
              <w:top w:val="nil"/>
              <w:left w:val="nil"/>
              <w:bottom w:val="single" w:color="auto" w:sz="4" w:space="0"/>
              <w:right w:val="single" w:color="auto" w:sz="4" w:space="0"/>
            </w:tcBorders>
            <w:shd w:val="clear" w:color="auto" w:fill="auto"/>
            <w:vAlign w:val="center"/>
          </w:tcPr>
          <w:p>
            <w:pPr>
              <w:spacing w:line="240" w:lineRule="auto"/>
              <w:jc w:val="center"/>
              <w:rPr>
                <w:sz w:val="20"/>
                <w:szCs w:val="20"/>
              </w:rPr>
            </w:pPr>
            <w:r>
              <w:rPr>
                <w:rFonts w:hint="eastAsia"/>
                <w:sz w:val="20"/>
                <w:szCs w:val="20"/>
              </w:rPr>
              <w:t>助理</w:t>
            </w:r>
          </w:p>
        </w:tc>
        <w:tc>
          <w:tcPr>
            <w:tcW w:w="1958" w:type="dxa"/>
            <w:tcBorders>
              <w:top w:val="nil"/>
              <w:left w:val="nil"/>
              <w:bottom w:val="single" w:color="auto" w:sz="4" w:space="0"/>
              <w:right w:val="single" w:color="auto" w:sz="4" w:space="0"/>
            </w:tcBorders>
            <w:shd w:val="clear" w:color="auto" w:fill="auto"/>
            <w:vAlign w:val="center"/>
          </w:tcPr>
          <w:p>
            <w:pPr>
              <w:spacing w:line="240" w:lineRule="auto"/>
              <w:jc w:val="center"/>
              <w:rPr>
                <w:sz w:val="20"/>
                <w:szCs w:val="20"/>
              </w:rPr>
            </w:pPr>
            <w:r>
              <w:rPr>
                <w:rFonts w:hint="eastAsia"/>
                <w:sz w:val="20"/>
                <w:szCs w:val="20"/>
              </w:rPr>
              <w:t>李思卿</w:t>
            </w:r>
          </w:p>
        </w:tc>
        <w:tc>
          <w:tcPr>
            <w:tcW w:w="3712" w:type="dxa"/>
            <w:vMerge w:val="continue"/>
            <w:tcBorders>
              <w:top w:val="nil"/>
              <w:left w:val="single" w:color="auto" w:sz="4" w:space="0"/>
              <w:bottom w:val="single" w:color="auto" w:sz="4" w:space="0"/>
              <w:right w:val="single" w:color="auto" w:sz="4" w:space="0"/>
            </w:tcBorders>
            <w:vAlign w:val="center"/>
          </w:tcPr>
          <w:p>
            <w:pPr>
              <w:spacing w:line="240" w:lineRule="auto"/>
              <w:jc w:val="center"/>
              <w:rPr>
                <w:sz w:val="20"/>
                <w:szCs w:val="20"/>
              </w:rPr>
            </w:pPr>
          </w:p>
        </w:tc>
      </w:tr>
      <w:tr>
        <w:tblPrEx>
          <w:tblCellMar>
            <w:top w:w="0" w:type="dxa"/>
            <w:left w:w="108" w:type="dxa"/>
            <w:bottom w:w="0" w:type="dxa"/>
            <w:right w:w="108" w:type="dxa"/>
          </w:tblCellMar>
        </w:tblPrEx>
        <w:trPr>
          <w:trHeight w:val="327" w:hRule="atLeast"/>
          <w:jc w:val="center"/>
        </w:trPr>
        <w:tc>
          <w:tcPr>
            <w:tcW w:w="1407"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sz w:val="20"/>
                <w:szCs w:val="20"/>
              </w:rPr>
            </w:pPr>
            <w:r>
              <w:rPr>
                <w:rFonts w:hint="eastAsia"/>
                <w:sz w:val="20"/>
                <w:szCs w:val="20"/>
              </w:rPr>
              <w:t>第二小组</w:t>
            </w:r>
          </w:p>
        </w:tc>
        <w:tc>
          <w:tcPr>
            <w:tcW w:w="1521" w:type="dxa"/>
            <w:tcBorders>
              <w:top w:val="nil"/>
              <w:left w:val="nil"/>
              <w:bottom w:val="single" w:color="auto" w:sz="4" w:space="0"/>
              <w:right w:val="single" w:color="auto" w:sz="4" w:space="0"/>
            </w:tcBorders>
            <w:shd w:val="clear" w:color="auto" w:fill="auto"/>
            <w:vAlign w:val="center"/>
          </w:tcPr>
          <w:p>
            <w:pPr>
              <w:spacing w:line="240" w:lineRule="auto"/>
              <w:jc w:val="center"/>
              <w:rPr>
                <w:sz w:val="20"/>
                <w:szCs w:val="20"/>
              </w:rPr>
            </w:pPr>
            <w:r>
              <w:rPr>
                <w:rFonts w:hint="eastAsia"/>
                <w:sz w:val="20"/>
                <w:szCs w:val="20"/>
              </w:rPr>
              <w:t>组长</w:t>
            </w:r>
          </w:p>
        </w:tc>
        <w:tc>
          <w:tcPr>
            <w:tcW w:w="1958" w:type="dxa"/>
            <w:tcBorders>
              <w:top w:val="nil"/>
              <w:left w:val="nil"/>
              <w:bottom w:val="single" w:color="auto" w:sz="4" w:space="0"/>
              <w:right w:val="single" w:color="auto" w:sz="4" w:space="0"/>
            </w:tcBorders>
            <w:shd w:val="clear" w:color="auto" w:fill="auto"/>
            <w:vAlign w:val="center"/>
          </w:tcPr>
          <w:p>
            <w:pPr>
              <w:spacing w:line="240" w:lineRule="auto"/>
              <w:jc w:val="center"/>
              <w:rPr>
                <w:sz w:val="20"/>
                <w:szCs w:val="20"/>
              </w:rPr>
            </w:pPr>
            <w:r>
              <w:rPr>
                <w:rFonts w:hint="eastAsia"/>
                <w:sz w:val="20"/>
                <w:szCs w:val="20"/>
              </w:rPr>
              <w:t>王梦琳</w:t>
            </w:r>
          </w:p>
        </w:tc>
        <w:tc>
          <w:tcPr>
            <w:tcW w:w="3712"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sz w:val="20"/>
                <w:szCs w:val="20"/>
              </w:rPr>
            </w:pPr>
            <w:r>
              <w:rPr>
                <w:rFonts w:hint="eastAsia"/>
                <w:sz w:val="20"/>
                <w:szCs w:val="20"/>
              </w:rPr>
              <w:t>负责现场核实、问卷调查、相关人士访谈等</w:t>
            </w:r>
          </w:p>
        </w:tc>
      </w:tr>
      <w:tr>
        <w:tblPrEx>
          <w:tblCellMar>
            <w:top w:w="0" w:type="dxa"/>
            <w:left w:w="108" w:type="dxa"/>
            <w:bottom w:w="0" w:type="dxa"/>
            <w:right w:w="108" w:type="dxa"/>
          </w:tblCellMar>
        </w:tblPrEx>
        <w:trPr>
          <w:trHeight w:val="327" w:hRule="atLeast"/>
          <w:jc w:val="center"/>
        </w:trPr>
        <w:tc>
          <w:tcPr>
            <w:tcW w:w="1407"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rPr>
            </w:pPr>
          </w:p>
        </w:tc>
        <w:tc>
          <w:tcPr>
            <w:tcW w:w="1521" w:type="dxa"/>
            <w:tcBorders>
              <w:top w:val="nil"/>
              <w:left w:val="nil"/>
              <w:bottom w:val="single" w:color="auto" w:sz="4" w:space="0"/>
              <w:right w:val="single" w:color="auto" w:sz="4" w:space="0"/>
            </w:tcBorders>
            <w:shd w:val="clear" w:color="auto" w:fill="auto"/>
            <w:vAlign w:val="center"/>
          </w:tcPr>
          <w:p>
            <w:pPr>
              <w:spacing w:line="240" w:lineRule="auto"/>
              <w:jc w:val="center"/>
              <w:rPr>
                <w:sz w:val="20"/>
                <w:szCs w:val="20"/>
              </w:rPr>
            </w:pPr>
            <w:r>
              <w:rPr>
                <w:rFonts w:hint="eastAsia"/>
                <w:sz w:val="20"/>
                <w:szCs w:val="20"/>
              </w:rPr>
              <w:t>助理</w:t>
            </w:r>
          </w:p>
        </w:tc>
        <w:tc>
          <w:tcPr>
            <w:tcW w:w="1958" w:type="dxa"/>
            <w:tcBorders>
              <w:top w:val="nil"/>
              <w:left w:val="nil"/>
              <w:bottom w:val="single" w:color="auto" w:sz="4" w:space="0"/>
              <w:right w:val="single" w:color="auto" w:sz="4" w:space="0"/>
            </w:tcBorders>
            <w:shd w:val="clear" w:color="auto" w:fill="auto"/>
            <w:vAlign w:val="center"/>
          </w:tcPr>
          <w:p>
            <w:pPr>
              <w:spacing w:line="240" w:lineRule="auto"/>
              <w:jc w:val="center"/>
              <w:rPr>
                <w:sz w:val="20"/>
                <w:szCs w:val="20"/>
              </w:rPr>
            </w:pPr>
            <w:r>
              <w:rPr>
                <w:rFonts w:hint="eastAsia"/>
                <w:sz w:val="20"/>
                <w:szCs w:val="20"/>
              </w:rPr>
              <w:t>冯煜芝</w:t>
            </w:r>
          </w:p>
        </w:tc>
        <w:tc>
          <w:tcPr>
            <w:tcW w:w="3712"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rPr>
            </w:pPr>
          </w:p>
        </w:tc>
      </w:tr>
    </w:tbl>
    <w:p>
      <w:pPr>
        <w:overflowPunct w:val="0"/>
        <w:spacing w:before="100" w:beforeAutospacing="1"/>
        <w:ind w:firstLine="640" w:firstLineChars="200"/>
        <w:rPr>
          <w:rFonts w:ascii="仿宋_GB2312" w:hAnsi="仿宋_GB2312" w:eastAsia="仿宋_GB2312" w:cs="仿宋_GB2312"/>
          <w:b/>
          <w:sz w:val="32"/>
          <w:szCs w:val="32"/>
        </w:rPr>
      </w:pPr>
      <w:r>
        <w:rPr>
          <w:rFonts w:hint="eastAsia" w:ascii="Times New Roman" w:hAnsi="Times New Roman" w:eastAsia="仿宋_GB2312" w:cs="仿宋_GB2312"/>
          <w:sz w:val="32"/>
          <w:szCs w:val="32"/>
        </w:rPr>
        <w:t>3.</w:t>
      </w:r>
      <w:r>
        <w:rPr>
          <w:rFonts w:ascii="仿宋_GB2312" w:hAnsi="仿宋_GB2312" w:eastAsia="仿宋_GB2312" w:cs="仿宋_GB2312"/>
          <w:b/>
          <w:sz w:val="32"/>
          <w:szCs w:val="32"/>
        </w:rPr>
        <w:t>评价时间及工作进程安排</w:t>
      </w:r>
      <w:bookmarkEnd w:id="47"/>
      <w:bookmarkEnd w:id="48"/>
    </w:p>
    <w:bookmarkEnd w:id="45"/>
    <w:p>
      <w:pPr>
        <w:ind w:firstLine="640" w:firstLineChars="200"/>
        <w:rPr>
          <w:rFonts w:ascii="仿宋_GB2312" w:hAnsi="仿宋_GB2312" w:eastAsia="仿宋_GB2312" w:cs="仿宋_GB2312"/>
          <w:sz w:val="32"/>
          <w:szCs w:val="32"/>
        </w:rPr>
      </w:pPr>
      <w:bookmarkStart w:id="52" w:name="_Toc2812397"/>
      <w:bookmarkStart w:id="53" w:name="_Toc13045376"/>
      <w:r>
        <w:rPr>
          <w:rFonts w:hint="eastAsia" w:ascii="仿宋_GB2312" w:hAnsi="仿宋_GB2312" w:eastAsia="仿宋_GB2312" w:cs="仿宋_GB2312"/>
          <w:sz w:val="32"/>
          <w:szCs w:val="32"/>
        </w:rPr>
        <w:t>评价时间从</w:t>
      </w:r>
      <w:r>
        <w:rPr>
          <w:rFonts w:hint="eastAsia" w:ascii="Times New Roman" w:hAnsi="Times New Roman" w:eastAsia="仿宋_GB2312" w:cs="仿宋_GB2312"/>
          <w:sz w:val="32"/>
          <w:szCs w:val="32"/>
        </w:rPr>
        <w:t>2020</w:t>
      </w:r>
      <w:r>
        <w:rPr>
          <w:rFonts w:hint="eastAsia" w:ascii="仿宋_GB2312" w:hAnsi="仿宋_GB2312" w:eastAsia="仿宋_GB2312" w:cs="仿宋_GB2312"/>
          <w:sz w:val="32"/>
          <w:szCs w:val="32"/>
        </w:rPr>
        <w:t>年</w:t>
      </w:r>
      <w:r>
        <w:rPr>
          <w:rFonts w:hint="eastAsia" w:ascii="Times New Roman" w:hAnsi="Times New Roman" w:eastAsia="仿宋_GB2312" w:cs="仿宋_GB2312"/>
          <w:sz w:val="32"/>
          <w:szCs w:val="32"/>
        </w:rPr>
        <w:t>9</w:t>
      </w:r>
      <w:r>
        <w:rPr>
          <w:rFonts w:hint="eastAsia" w:ascii="仿宋_GB2312" w:hAnsi="仿宋_GB2312" w:eastAsia="仿宋_GB2312" w:cs="仿宋_GB2312"/>
          <w:sz w:val="32"/>
          <w:szCs w:val="32"/>
        </w:rPr>
        <w:t>月</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日开始，到</w:t>
      </w:r>
      <w:r>
        <w:rPr>
          <w:rFonts w:hint="eastAsia" w:ascii="Times New Roman" w:hAnsi="Times New Roman" w:eastAsia="仿宋_GB2312" w:cs="仿宋_GB2312"/>
          <w:sz w:val="32"/>
          <w:szCs w:val="32"/>
        </w:rPr>
        <w:t>11</w:t>
      </w:r>
      <w:r>
        <w:rPr>
          <w:rFonts w:hint="eastAsia" w:ascii="仿宋_GB2312" w:hAnsi="仿宋_GB2312" w:eastAsia="仿宋_GB2312" w:cs="仿宋_GB2312"/>
          <w:sz w:val="32"/>
          <w:szCs w:val="32"/>
        </w:rPr>
        <w:t>月</w:t>
      </w:r>
      <w:r>
        <w:rPr>
          <w:rFonts w:hint="eastAsia" w:ascii="Times New Roman" w:hAnsi="Times New Roman" w:eastAsia="仿宋_GB2312" w:cs="仿宋_GB2312"/>
          <w:sz w:val="32"/>
          <w:szCs w:val="32"/>
        </w:rPr>
        <w:t>10</w:t>
      </w:r>
      <w:r>
        <w:rPr>
          <w:rFonts w:hint="eastAsia" w:ascii="仿宋_GB2312" w:hAnsi="仿宋_GB2312" w:eastAsia="仿宋_GB2312" w:cs="仿宋_GB2312"/>
          <w:sz w:val="32"/>
          <w:szCs w:val="32"/>
        </w:rPr>
        <w:t>日结束，分为四个阶段：</w:t>
      </w:r>
    </w:p>
    <w:p>
      <w:pPr>
        <w:ind w:firstLine="643" w:firstLineChars="200"/>
        <w:rPr>
          <w:rFonts w:ascii="仿宋_GB2312" w:hAnsi="仿宋_GB2312" w:eastAsia="仿宋_GB2312" w:cs="仿宋_GB2312"/>
          <w:sz w:val="32"/>
          <w:szCs w:val="32"/>
        </w:rPr>
      </w:pPr>
      <w:r>
        <w:rPr>
          <w:rFonts w:ascii="仿宋_GB2312" w:hAnsi="仿宋_GB2312" w:eastAsia="仿宋_GB2312" w:cs="仿宋_GB2312"/>
          <w:b/>
          <w:sz w:val="32"/>
          <w:szCs w:val="32"/>
        </w:rPr>
        <w:t>评价准备阶段（</w:t>
      </w:r>
      <w:r>
        <w:rPr>
          <w:rFonts w:ascii="Times New Roman" w:hAnsi="Times New Roman" w:eastAsia="仿宋_GB2312" w:cs="仿宋_GB2312"/>
          <w:b/>
          <w:sz w:val="32"/>
          <w:szCs w:val="32"/>
        </w:rPr>
        <w:t>2020</w:t>
      </w:r>
      <w:r>
        <w:rPr>
          <w:rFonts w:ascii="仿宋_GB2312" w:hAnsi="仿宋_GB2312" w:eastAsia="仿宋_GB2312" w:cs="仿宋_GB2312"/>
          <w:b/>
          <w:sz w:val="32"/>
          <w:szCs w:val="32"/>
        </w:rPr>
        <w:t>年</w:t>
      </w:r>
      <w:r>
        <w:rPr>
          <w:rFonts w:hint="eastAsia" w:ascii="Times New Roman" w:hAnsi="Times New Roman" w:eastAsia="仿宋_GB2312" w:cs="仿宋_GB2312"/>
          <w:b/>
          <w:sz w:val="32"/>
          <w:szCs w:val="32"/>
        </w:rPr>
        <w:t>9</w:t>
      </w:r>
      <w:r>
        <w:rPr>
          <w:rFonts w:ascii="仿宋_GB2312" w:hAnsi="仿宋_GB2312" w:eastAsia="仿宋_GB2312" w:cs="仿宋_GB2312"/>
          <w:b/>
          <w:sz w:val="32"/>
          <w:szCs w:val="32"/>
        </w:rPr>
        <w:t>月</w:t>
      </w:r>
      <w:r>
        <w:rPr>
          <w:rFonts w:hint="eastAsia" w:ascii="Times New Roman" w:hAnsi="Times New Roman" w:eastAsia="仿宋_GB2312" w:cs="仿宋_GB2312"/>
          <w:b/>
          <w:sz w:val="32"/>
          <w:szCs w:val="32"/>
        </w:rPr>
        <w:t>1</w:t>
      </w:r>
      <w:r>
        <w:rPr>
          <w:rFonts w:ascii="仿宋_GB2312" w:hAnsi="仿宋_GB2312" w:eastAsia="仿宋_GB2312" w:cs="仿宋_GB2312"/>
          <w:b/>
          <w:sz w:val="32"/>
          <w:szCs w:val="32"/>
        </w:rPr>
        <w:t>日-</w:t>
      </w:r>
      <w:r>
        <w:rPr>
          <w:rFonts w:ascii="Times New Roman" w:hAnsi="Times New Roman" w:eastAsia="仿宋_GB2312" w:cs="仿宋_GB2312"/>
          <w:b/>
          <w:sz w:val="32"/>
          <w:szCs w:val="32"/>
        </w:rPr>
        <w:t>2020</w:t>
      </w:r>
      <w:r>
        <w:rPr>
          <w:rFonts w:ascii="仿宋_GB2312" w:hAnsi="仿宋_GB2312" w:eastAsia="仿宋_GB2312" w:cs="仿宋_GB2312"/>
          <w:b/>
          <w:sz w:val="32"/>
          <w:szCs w:val="32"/>
        </w:rPr>
        <w:t>年</w:t>
      </w:r>
      <w:r>
        <w:rPr>
          <w:rFonts w:hint="eastAsia" w:ascii="Times New Roman" w:hAnsi="Times New Roman" w:eastAsia="仿宋_GB2312" w:cs="仿宋_GB2312"/>
          <w:b/>
          <w:sz w:val="32"/>
          <w:szCs w:val="32"/>
        </w:rPr>
        <w:t>9</w:t>
      </w:r>
      <w:r>
        <w:rPr>
          <w:rFonts w:ascii="仿宋_GB2312" w:hAnsi="仿宋_GB2312" w:eastAsia="仿宋_GB2312" w:cs="仿宋_GB2312"/>
          <w:b/>
          <w:sz w:val="32"/>
          <w:szCs w:val="32"/>
        </w:rPr>
        <w:t>月</w:t>
      </w:r>
      <w:r>
        <w:rPr>
          <w:rFonts w:hint="eastAsia" w:ascii="Times New Roman" w:hAnsi="Times New Roman" w:eastAsia="仿宋_GB2312" w:cs="仿宋_GB2312"/>
          <w:b/>
          <w:sz w:val="32"/>
          <w:szCs w:val="32"/>
        </w:rPr>
        <w:t>15</w:t>
      </w:r>
      <w:r>
        <w:rPr>
          <w:rFonts w:ascii="仿宋_GB2312" w:hAnsi="仿宋_GB2312" w:eastAsia="仿宋_GB2312" w:cs="仿宋_GB2312"/>
          <w:b/>
          <w:sz w:val="32"/>
          <w:szCs w:val="32"/>
        </w:rPr>
        <w:t>日）。</w:t>
      </w:r>
      <w:r>
        <w:rPr>
          <w:rFonts w:ascii="仿宋_GB2312" w:hAnsi="仿宋_GB2312" w:eastAsia="仿宋_GB2312" w:cs="仿宋_GB2312"/>
          <w:sz w:val="32"/>
          <w:szCs w:val="32"/>
        </w:rPr>
        <w:t>主要工作内容包括：</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ascii="Times New Roman" w:hAnsi="Times New Roman" w:eastAsia="仿宋_GB2312" w:cs="仿宋_GB2312"/>
          <w:sz w:val="32"/>
          <w:szCs w:val="32"/>
        </w:rPr>
        <w:t>1</w:t>
      </w:r>
      <w:r>
        <w:rPr>
          <w:rFonts w:ascii="仿宋_GB2312" w:hAnsi="仿宋_GB2312" w:eastAsia="仿宋_GB2312" w:cs="仿宋_GB2312"/>
          <w:sz w:val="32"/>
          <w:szCs w:val="32"/>
        </w:rPr>
        <w:t>）确定承接绩效评价业务的前提条件。</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ascii="Times New Roman" w:hAnsi="Times New Roman" w:eastAsia="仿宋_GB2312" w:cs="仿宋_GB2312"/>
          <w:sz w:val="32"/>
          <w:szCs w:val="32"/>
        </w:rPr>
        <w:t>2</w:t>
      </w:r>
      <w:r>
        <w:rPr>
          <w:rFonts w:ascii="仿宋_GB2312" w:hAnsi="仿宋_GB2312" w:eastAsia="仿宋_GB2312" w:cs="仿宋_GB2312"/>
          <w:sz w:val="32"/>
          <w:szCs w:val="32"/>
        </w:rPr>
        <w:t>）成立项目工作组,确定领导组、工作组组成人员和负责人以及职责分工。</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ascii="Times New Roman" w:hAnsi="Times New Roman" w:eastAsia="仿宋_GB2312" w:cs="仿宋_GB2312"/>
          <w:sz w:val="32"/>
          <w:szCs w:val="32"/>
        </w:rPr>
        <w:t>3</w:t>
      </w:r>
      <w:r>
        <w:rPr>
          <w:rFonts w:ascii="仿宋_GB2312" w:hAnsi="仿宋_GB2312" w:eastAsia="仿宋_GB2312" w:cs="仿宋_GB2312"/>
          <w:sz w:val="32"/>
          <w:szCs w:val="32"/>
        </w:rPr>
        <w:t>）收集、审核、分析项目涉及的相关资料。</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Times New Roman" w:hAnsi="Times New Roman" w:eastAsia="仿宋_GB2312" w:cs="仿宋_GB2312"/>
          <w:sz w:val="32"/>
          <w:szCs w:val="32"/>
        </w:rPr>
        <w:t>4</w:t>
      </w:r>
      <w:r>
        <w:rPr>
          <w:rFonts w:ascii="仿宋_GB2312" w:hAnsi="仿宋_GB2312" w:eastAsia="仿宋_GB2312" w:cs="仿宋_GB2312"/>
          <w:sz w:val="32"/>
          <w:szCs w:val="32"/>
        </w:rPr>
        <w:t>）培训评价人员。</w:t>
      </w:r>
    </w:p>
    <w:p>
      <w:pPr>
        <w:ind w:firstLine="643" w:firstLineChars="200"/>
        <w:rPr>
          <w:rFonts w:ascii="仿宋_GB2312" w:hAnsi="仿宋_GB2312" w:eastAsia="仿宋_GB2312" w:cs="仿宋_GB2312"/>
          <w:sz w:val="32"/>
          <w:szCs w:val="32"/>
        </w:rPr>
      </w:pPr>
      <w:r>
        <w:rPr>
          <w:rFonts w:ascii="仿宋_GB2312" w:hAnsi="仿宋_GB2312" w:eastAsia="仿宋_GB2312" w:cs="仿宋_GB2312"/>
          <w:b/>
          <w:sz w:val="32"/>
          <w:szCs w:val="32"/>
        </w:rPr>
        <w:t>评价实施阶段（</w:t>
      </w:r>
      <w:r>
        <w:rPr>
          <w:rFonts w:ascii="Times New Roman" w:hAnsi="Times New Roman" w:eastAsia="仿宋_GB2312" w:cs="仿宋_GB2312"/>
          <w:b/>
          <w:sz w:val="32"/>
          <w:szCs w:val="32"/>
        </w:rPr>
        <w:t>2020</w:t>
      </w:r>
      <w:r>
        <w:rPr>
          <w:rFonts w:ascii="仿宋_GB2312" w:hAnsi="仿宋_GB2312" w:eastAsia="仿宋_GB2312" w:cs="仿宋_GB2312"/>
          <w:b/>
          <w:sz w:val="32"/>
          <w:szCs w:val="32"/>
        </w:rPr>
        <w:t>年</w:t>
      </w:r>
      <w:r>
        <w:rPr>
          <w:rFonts w:hint="eastAsia" w:ascii="Times New Roman" w:hAnsi="Times New Roman" w:eastAsia="仿宋_GB2312" w:cs="仿宋_GB2312"/>
          <w:b/>
          <w:sz w:val="32"/>
          <w:szCs w:val="32"/>
        </w:rPr>
        <w:t>9</w:t>
      </w:r>
      <w:r>
        <w:rPr>
          <w:rFonts w:ascii="仿宋_GB2312" w:hAnsi="仿宋_GB2312" w:eastAsia="仿宋_GB2312" w:cs="仿宋_GB2312"/>
          <w:b/>
          <w:sz w:val="32"/>
          <w:szCs w:val="32"/>
        </w:rPr>
        <w:t>月1</w:t>
      </w:r>
      <w:r>
        <w:rPr>
          <w:rFonts w:hint="eastAsia" w:ascii="Times New Roman" w:hAnsi="Times New Roman" w:eastAsia="仿宋_GB2312" w:cs="仿宋_GB2312"/>
          <w:b/>
          <w:sz w:val="32"/>
          <w:szCs w:val="32"/>
        </w:rPr>
        <w:t>6</w:t>
      </w:r>
      <w:r>
        <w:rPr>
          <w:rFonts w:ascii="仿宋_GB2312" w:hAnsi="仿宋_GB2312" w:eastAsia="仿宋_GB2312" w:cs="仿宋_GB2312"/>
          <w:b/>
          <w:sz w:val="32"/>
          <w:szCs w:val="32"/>
        </w:rPr>
        <w:t>日-</w:t>
      </w:r>
      <w:r>
        <w:rPr>
          <w:rFonts w:ascii="Times New Roman" w:hAnsi="Times New Roman" w:eastAsia="仿宋_GB2312" w:cs="仿宋_GB2312"/>
          <w:b/>
          <w:sz w:val="32"/>
          <w:szCs w:val="32"/>
        </w:rPr>
        <w:t>2020</w:t>
      </w:r>
      <w:r>
        <w:rPr>
          <w:rFonts w:ascii="仿宋_GB2312" w:hAnsi="仿宋_GB2312" w:eastAsia="仿宋_GB2312" w:cs="仿宋_GB2312"/>
          <w:b/>
          <w:sz w:val="32"/>
          <w:szCs w:val="32"/>
        </w:rPr>
        <w:t>年</w:t>
      </w:r>
      <w:r>
        <w:rPr>
          <w:rFonts w:hint="eastAsia" w:ascii="Times New Roman" w:hAnsi="Times New Roman" w:eastAsia="仿宋_GB2312" w:cs="仿宋_GB2312"/>
          <w:b/>
          <w:sz w:val="32"/>
          <w:szCs w:val="32"/>
        </w:rPr>
        <w:t>9</w:t>
      </w:r>
      <w:r>
        <w:rPr>
          <w:rFonts w:ascii="仿宋_GB2312" w:hAnsi="仿宋_GB2312" w:eastAsia="仿宋_GB2312" w:cs="仿宋_GB2312"/>
          <w:b/>
          <w:sz w:val="32"/>
          <w:szCs w:val="32"/>
        </w:rPr>
        <w:t>月</w:t>
      </w:r>
      <w:r>
        <w:rPr>
          <w:rFonts w:hint="eastAsia" w:ascii="Times New Roman" w:hAnsi="Times New Roman" w:eastAsia="仿宋_GB2312" w:cs="仿宋_GB2312"/>
          <w:b/>
          <w:sz w:val="32"/>
          <w:szCs w:val="32"/>
        </w:rPr>
        <w:t>30</w:t>
      </w:r>
      <w:r>
        <w:rPr>
          <w:rFonts w:ascii="仿宋_GB2312" w:hAnsi="仿宋_GB2312" w:eastAsia="仿宋_GB2312" w:cs="仿宋_GB2312"/>
          <w:b/>
          <w:sz w:val="32"/>
          <w:szCs w:val="32"/>
        </w:rPr>
        <w:t>日）。</w:t>
      </w:r>
      <w:r>
        <w:rPr>
          <w:rFonts w:ascii="仿宋_GB2312" w:hAnsi="仿宋_GB2312" w:eastAsia="仿宋_GB2312" w:cs="仿宋_GB2312"/>
          <w:sz w:val="32"/>
          <w:szCs w:val="32"/>
        </w:rPr>
        <w:t>主要工作内容包括：</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ascii="Times New Roman" w:hAnsi="Times New Roman" w:eastAsia="仿宋_GB2312" w:cs="仿宋_GB2312"/>
          <w:sz w:val="32"/>
          <w:szCs w:val="32"/>
        </w:rPr>
        <w:t>1</w:t>
      </w:r>
      <w:r>
        <w:rPr>
          <w:rFonts w:ascii="仿宋_GB2312" w:hAnsi="仿宋_GB2312" w:eastAsia="仿宋_GB2312" w:cs="仿宋_GB2312"/>
          <w:sz w:val="32"/>
          <w:szCs w:val="32"/>
        </w:rPr>
        <w:t>）收集、审核资料。在全面收集资料的基础上，对已收集的资料进行分类整理、审查和分析。</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ascii="Times New Roman" w:hAnsi="Times New Roman" w:eastAsia="仿宋_GB2312" w:cs="仿宋_GB2312"/>
          <w:sz w:val="32"/>
          <w:szCs w:val="32"/>
        </w:rPr>
        <w:t>2</w:t>
      </w:r>
      <w:r>
        <w:rPr>
          <w:rFonts w:ascii="仿宋_GB2312" w:hAnsi="仿宋_GB2312" w:eastAsia="仿宋_GB2312" w:cs="仿宋_GB2312"/>
          <w:sz w:val="32"/>
          <w:szCs w:val="32"/>
        </w:rPr>
        <w:t>）现场勘查。根据评价对象的特点和项目单位提供的数据资料进行实地勘查验证。</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ascii="Times New Roman" w:hAnsi="Times New Roman" w:eastAsia="仿宋_GB2312" w:cs="仿宋_GB2312"/>
          <w:sz w:val="32"/>
          <w:szCs w:val="32"/>
        </w:rPr>
        <w:t>3</w:t>
      </w:r>
      <w:r>
        <w:rPr>
          <w:rFonts w:ascii="仿宋_GB2312" w:hAnsi="仿宋_GB2312" w:eastAsia="仿宋_GB2312" w:cs="仿宋_GB2312"/>
          <w:sz w:val="32"/>
          <w:szCs w:val="32"/>
        </w:rPr>
        <w:t>）社会调查。发放、收集、整理、分析社会调查问卷。</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ascii="Times New Roman" w:hAnsi="Times New Roman" w:eastAsia="仿宋_GB2312" w:cs="仿宋_GB2312"/>
          <w:sz w:val="32"/>
          <w:szCs w:val="32"/>
        </w:rPr>
        <w:t>4</w:t>
      </w:r>
      <w:r>
        <w:rPr>
          <w:rFonts w:ascii="仿宋_GB2312" w:hAnsi="仿宋_GB2312" w:eastAsia="仿宋_GB2312" w:cs="仿宋_GB2312"/>
          <w:sz w:val="32"/>
          <w:szCs w:val="32"/>
        </w:rPr>
        <w:t>）访谈。按照评价工作方案对相关人士进行访谈。</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ascii="Times New Roman" w:hAnsi="Times New Roman" w:eastAsia="仿宋_GB2312" w:cs="仿宋_GB2312"/>
          <w:sz w:val="32"/>
          <w:szCs w:val="32"/>
        </w:rPr>
        <w:t>5</w:t>
      </w:r>
      <w:r>
        <w:rPr>
          <w:rFonts w:ascii="仿宋_GB2312" w:hAnsi="仿宋_GB2312" w:eastAsia="仿宋_GB2312" w:cs="仿宋_GB2312"/>
          <w:sz w:val="32"/>
          <w:szCs w:val="32"/>
        </w:rPr>
        <w:t>）综合评价。根据评价工作方案确定的评价指标、评价权重、评价标准和评价方法，对评价对象的情况进行全面的定量定性分析和综合评价，形成评价结论。</w:t>
      </w:r>
    </w:p>
    <w:p>
      <w:pPr>
        <w:ind w:firstLine="643" w:firstLineChars="200"/>
        <w:rPr>
          <w:rFonts w:ascii="仿宋_GB2312" w:hAnsi="仿宋_GB2312" w:eastAsia="仿宋_GB2312" w:cs="仿宋_GB2312"/>
          <w:sz w:val="32"/>
          <w:szCs w:val="32"/>
        </w:rPr>
      </w:pPr>
      <w:r>
        <w:rPr>
          <w:rFonts w:ascii="仿宋_GB2312" w:hAnsi="仿宋_GB2312" w:eastAsia="仿宋_GB2312" w:cs="仿宋_GB2312"/>
          <w:b/>
          <w:sz w:val="32"/>
          <w:szCs w:val="32"/>
        </w:rPr>
        <w:t>报告撰写阶段（</w:t>
      </w:r>
      <w:r>
        <w:rPr>
          <w:rFonts w:ascii="Times New Roman" w:hAnsi="Times New Roman" w:eastAsia="仿宋_GB2312" w:cs="仿宋_GB2312"/>
          <w:b/>
          <w:sz w:val="32"/>
          <w:szCs w:val="32"/>
        </w:rPr>
        <w:t>2020</w:t>
      </w:r>
      <w:r>
        <w:rPr>
          <w:rFonts w:ascii="仿宋_GB2312" w:hAnsi="仿宋_GB2312" w:eastAsia="仿宋_GB2312" w:cs="仿宋_GB2312"/>
          <w:b/>
          <w:sz w:val="32"/>
          <w:szCs w:val="32"/>
        </w:rPr>
        <w:t>年</w:t>
      </w:r>
      <w:r>
        <w:rPr>
          <w:rFonts w:hint="eastAsia" w:ascii="Times New Roman" w:hAnsi="Times New Roman" w:eastAsia="仿宋_GB2312" w:cs="仿宋_GB2312"/>
          <w:b/>
          <w:sz w:val="32"/>
          <w:szCs w:val="32"/>
        </w:rPr>
        <w:t>10</w:t>
      </w:r>
      <w:r>
        <w:rPr>
          <w:rFonts w:ascii="仿宋_GB2312" w:hAnsi="仿宋_GB2312" w:eastAsia="仿宋_GB2312" w:cs="仿宋_GB2312"/>
          <w:b/>
          <w:sz w:val="32"/>
          <w:szCs w:val="32"/>
        </w:rPr>
        <w:t>月</w:t>
      </w:r>
      <w:r>
        <w:rPr>
          <w:rFonts w:ascii="Times New Roman" w:hAnsi="Times New Roman" w:eastAsia="仿宋_GB2312" w:cs="仿宋_GB2312"/>
          <w:b/>
          <w:sz w:val="32"/>
          <w:szCs w:val="32"/>
        </w:rPr>
        <w:t>1</w:t>
      </w:r>
      <w:r>
        <w:rPr>
          <w:rFonts w:ascii="仿宋_GB2312" w:hAnsi="仿宋_GB2312" w:eastAsia="仿宋_GB2312" w:cs="仿宋_GB2312"/>
          <w:b/>
          <w:sz w:val="32"/>
          <w:szCs w:val="32"/>
        </w:rPr>
        <w:t>日-</w:t>
      </w:r>
      <w:r>
        <w:rPr>
          <w:rFonts w:ascii="Times New Roman" w:hAnsi="Times New Roman" w:eastAsia="仿宋_GB2312" w:cs="仿宋_GB2312"/>
          <w:b/>
          <w:sz w:val="32"/>
          <w:szCs w:val="32"/>
        </w:rPr>
        <w:t>20</w:t>
      </w:r>
      <w:r>
        <w:rPr>
          <w:rFonts w:hint="eastAsia" w:ascii="Times New Roman" w:hAnsi="Times New Roman" w:eastAsia="仿宋_GB2312" w:cs="仿宋_GB2312"/>
          <w:b/>
          <w:sz w:val="32"/>
          <w:szCs w:val="32"/>
        </w:rPr>
        <w:t>20</w:t>
      </w:r>
      <w:r>
        <w:rPr>
          <w:rFonts w:ascii="仿宋_GB2312" w:hAnsi="仿宋_GB2312" w:eastAsia="仿宋_GB2312" w:cs="仿宋_GB2312"/>
          <w:b/>
          <w:sz w:val="32"/>
          <w:szCs w:val="32"/>
        </w:rPr>
        <w:t>年</w:t>
      </w:r>
      <w:r>
        <w:rPr>
          <w:rFonts w:hint="eastAsia" w:ascii="Times New Roman" w:hAnsi="Times New Roman" w:eastAsia="仿宋_GB2312" w:cs="仿宋_GB2312"/>
          <w:b/>
          <w:sz w:val="32"/>
          <w:szCs w:val="32"/>
        </w:rPr>
        <w:t>10</w:t>
      </w:r>
      <w:r>
        <w:rPr>
          <w:rFonts w:ascii="仿宋_GB2312" w:hAnsi="仿宋_GB2312" w:eastAsia="仿宋_GB2312" w:cs="仿宋_GB2312"/>
          <w:b/>
          <w:sz w:val="32"/>
          <w:szCs w:val="32"/>
        </w:rPr>
        <w:t>月</w:t>
      </w:r>
      <w:r>
        <w:rPr>
          <w:rFonts w:hint="eastAsia" w:ascii="Times New Roman" w:hAnsi="Times New Roman" w:eastAsia="仿宋_GB2312" w:cs="仿宋_GB2312"/>
          <w:b/>
          <w:sz w:val="32"/>
          <w:szCs w:val="32"/>
        </w:rPr>
        <w:t>30</w:t>
      </w:r>
      <w:r>
        <w:rPr>
          <w:rFonts w:ascii="仿宋_GB2312" w:hAnsi="仿宋_GB2312" w:eastAsia="仿宋_GB2312" w:cs="仿宋_GB2312"/>
          <w:b/>
          <w:sz w:val="32"/>
          <w:szCs w:val="32"/>
        </w:rPr>
        <w:t>日）。</w:t>
      </w:r>
      <w:r>
        <w:rPr>
          <w:rFonts w:ascii="仿宋_GB2312" w:hAnsi="仿宋_GB2312" w:eastAsia="仿宋_GB2312" w:cs="仿宋_GB2312"/>
          <w:sz w:val="32"/>
          <w:szCs w:val="32"/>
        </w:rPr>
        <w:t>主要工作内容包括：</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ascii="Times New Roman" w:hAnsi="Times New Roman" w:eastAsia="仿宋_GB2312" w:cs="仿宋_GB2312"/>
          <w:sz w:val="32"/>
          <w:szCs w:val="32"/>
        </w:rPr>
        <w:t>1</w:t>
      </w:r>
      <w:r>
        <w:rPr>
          <w:rFonts w:ascii="仿宋_GB2312" w:hAnsi="仿宋_GB2312" w:eastAsia="仿宋_GB2312" w:cs="仿宋_GB2312"/>
          <w:sz w:val="32"/>
          <w:szCs w:val="32"/>
        </w:rPr>
        <w:t>）撰写报告。根据被评价单位的绩效评价情况，按照规定的文本格式和要求撰写绩效评价报告。评价报告包括被评价单位基本情况，绩效评价工作开展情况，绩效评价指标体系和评价方法，综合评价情况及评价结论，绩效评价指标分析，项目主要经验做法、存在问题及原因分析，改进建议及评价结果应用等内容；与被评价单位交换意见并对报告进行修改完善，形成评价结论；向评价委托单位提交评价报告；根据专家审核意见修改评价报告；提交正式评价报告。</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ascii="Times New Roman" w:hAnsi="Times New Roman" w:eastAsia="仿宋_GB2312" w:cs="仿宋_GB2312"/>
          <w:sz w:val="32"/>
          <w:szCs w:val="32"/>
        </w:rPr>
        <w:t>2</w:t>
      </w:r>
      <w:r>
        <w:rPr>
          <w:rFonts w:ascii="仿宋_GB2312" w:hAnsi="仿宋_GB2312" w:eastAsia="仿宋_GB2312" w:cs="仿宋_GB2312"/>
          <w:sz w:val="32"/>
          <w:szCs w:val="32"/>
        </w:rPr>
        <w:t>）提交报告。在</w:t>
      </w:r>
      <w:r>
        <w:rPr>
          <w:rFonts w:hint="eastAsia" w:ascii="Times New Roman" w:hAnsi="Times New Roman" w:eastAsia="仿宋_GB2312" w:cs="仿宋_GB2312"/>
          <w:sz w:val="32"/>
          <w:szCs w:val="32"/>
        </w:rPr>
        <w:t>10</w:t>
      </w:r>
      <w:r>
        <w:rPr>
          <w:rFonts w:ascii="仿宋_GB2312" w:hAnsi="仿宋_GB2312" w:eastAsia="仿宋_GB2312" w:cs="仿宋_GB2312"/>
          <w:sz w:val="32"/>
          <w:szCs w:val="32"/>
        </w:rPr>
        <w:t>月</w:t>
      </w:r>
      <w:r>
        <w:rPr>
          <w:rFonts w:ascii="Times New Roman" w:hAnsi="Times New Roman" w:eastAsia="仿宋_GB2312" w:cs="仿宋_GB2312"/>
          <w:sz w:val="32"/>
          <w:szCs w:val="32"/>
        </w:rPr>
        <w:t>20</w:t>
      </w:r>
      <w:r>
        <w:rPr>
          <w:rFonts w:ascii="仿宋_GB2312" w:hAnsi="仿宋_GB2312" w:eastAsia="仿宋_GB2312" w:cs="仿宋_GB2312"/>
          <w:sz w:val="32"/>
          <w:szCs w:val="32"/>
        </w:rPr>
        <w:t>日前向</w:t>
      </w:r>
      <w:r>
        <w:rPr>
          <w:rFonts w:hint="eastAsia" w:ascii="仿宋_GB2312" w:hAnsi="仿宋_GB2312" w:eastAsia="仿宋_GB2312" w:cs="仿宋_GB2312"/>
          <w:sz w:val="32"/>
          <w:szCs w:val="32"/>
        </w:rPr>
        <w:t>平陆县财政局预算</w:t>
      </w:r>
      <w:r>
        <w:rPr>
          <w:rFonts w:ascii="仿宋_GB2312" w:hAnsi="仿宋_GB2312" w:eastAsia="仿宋_GB2312" w:cs="仿宋_GB2312"/>
          <w:sz w:val="32"/>
          <w:szCs w:val="32"/>
        </w:rPr>
        <w:t>绩效</w:t>
      </w:r>
      <w:r>
        <w:rPr>
          <w:rFonts w:hint="eastAsia" w:ascii="仿宋_GB2312" w:hAnsi="仿宋_GB2312" w:eastAsia="仿宋_GB2312" w:cs="仿宋_GB2312"/>
          <w:sz w:val="32"/>
          <w:szCs w:val="32"/>
        </w:rPr>
        <w:t>管理股</w:t>
      </w:r>
      <w:r>
        <w:rPr>
          <w:rFonts w:ascii="仿宋_GB2312" w:hAnsi="仿宋_GB2312" w:eastAsia="仿宋_GB2312" w:cs="仿宋_GB2312"/>
          <w:sz w:val="32"/>
          <w:szCs w:val="32"/>
        </w:rPr>
        <w:t>提交绩效评价报告。</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ascii="Times New Roman" w:hAnsi="Times New Roman" w:eastAsia="仿宋_GB2312" w:cs="仿宋_GB2312"/>
          <w:sz w:val="32"/>
          <w:szCs w:val="32"/>
        </w:rPr>
        <w:t>3</w:t>
      </w:r>
      <w:r>
        <w:rPr>
          <w:rFonts w:ascii="仿宋_GB2312" w:hAnsi="仿宋_GB2312" w:eastAsia="仿宋_GB2312" w:cs="仿宋_GB2312"/>
          <w:sz w:val="32"/>
          <w:szCs w:val="32"/>
        </w:rPr>
        <w:t>）修改报告。根据专家审核意见修改评价报告，于</w:t>
      </w:r>
      <w:r>
        <w:rPr>
          <w:rFonts w:hint="eastAsia" w:ascii="Times New Roman" w:hAnsi="Times New Roman" w:eastAsia="仿宋_GB2312" w:cs="仿宋_GB2312"/>
          <w:sz w:val="32"/>
          <w:szCs w:val="32"/>
        </w:rPr>
        <w:t>10</w:t>
      </w:r>
      <w:r>
        <w:rPr>
          <w:rFonts w:ascii="仿宋_GB2312" w:hAnsi="仿宋_GB2312" w:eastAsia="仿宋_GB2312" w:cs="仿宋_GB2312"/>
          <w:sz w:val="32"/>
          <w:szCs w:val="32"/>
        </w:rPr>
        <w:t>月</w:t>
      </w:r>
      <w:r>
        <w:rPr>
          <w:rFonts w:ascii="Times New Roman" w:hAnsi="Times New Roman" w:eastAsia="仿宋_GB2312" w:cs="仿宋_GB2312"/>
          <w:sz w:val="32"/>
          <w:szCs w:val="32"/>
        </w:rPr>
        <w:t>3</w:t>
      </w:r>
      <w:r>
        <w:rPr>
          <w:rFonts w:hint="eastAsia" w:ascii="Times New Roman" w:hAnsi="Times New Roman" w:eastAsia="仿宋_GB2312" w:cs="仿宋_GB2312"/>
          <w:sz w:val="32"/>
          <w:szCs w:val="32"/>
        </w:rPr>
        <w:t>0</w:t>
      </w:r>
      <w:r>
        <w:rPr>
          <w:rFonts w:ascii="仿宋_GB2312" w:hAnsi="仿宋_GB2312" w:eastAsia="仿宋_GB2312" w:cs="仿宋_GB2312"/>
          <w:sz w:val="32"/>
          <w:szCs w:val="32"/>
        </w:rPr>
        <w:t>日前提交正式绩效评价报告。</w:t>
      </w:r>
    </w:p>
    <w:p>
      <w:pPr>
        <w:ind w:firstLine="643" w:firstLineChars="200"/>
        <w:rPr>
          <w:rFonts w:ascii="仿宋_GB2312" w:hAnsi="仿宋_GB2312" w:eastAsia="仿宋_GB2312" w:cs="仿宋_GB2312"/>
          <w:sz w:val="32"/>
          <w:szCs w:val="32"/>
        </w:rPr>
      </w:pPr>
      <w:r>
        <w:rPr>
          <w:rFonts w:ascii="仿宋_GB2312" w:hAnsi="仿宋_GB2312" w:eastAsia="仿宋_GB2312" w:cs="仿宋_GB2312"/>
          <w:b/>
          <w:sz w:val="32"/>
          <w:szCs w:val="32"/>
        </w:rPr>
        <w:t>资料归档阶段（</w:t>
      </w:r>
      <w:r>
        <w:rPr>
          <w:rFonts w:ascii="Times New Roman" w:hAnsi="Times New Roman" w:eastAsia="仿宋_GB2312" w:cs="仿宋_GB2312"/>
          <w:b/>
          <w:sz w:val="32"/>
          <w:szCs w:val="32"/>
        </w:rPr>
        <w:t>2020</w:t>
      </w:r>
      <w:r>
        <w:rPr>
          <w:rFonts w:ascii="仿宋_GB2312" w:hAnsi="仿宋_GB2312" w:eastAsia="仿宋_GB2312" w:cs="仿宋_GB2312"/>
          <w:b/>
          <w:sz w:val="32"/>
          <w:szCs w:val="32"/>
        </w:rPr>
        <w:t>年</w:t>
      </w:r>
      <w:r>
        <w:rPr>
          <w:rFonts w:hint="eastAsia" w:ascii="Times New Roman" w:hAnsi="Times New Roman" w:eastAsia="仿宋_GB2312" w:cs="仿宋_GB2312"/>
          <w:b/>
          <w:sz w:val="32"/>
          <w:szCs w:val="32"/>
        </w:rPr>
        <w:t>10</w:t>
      </w:r>
      <w:r>
        <w:rPr>
          <w:rFonts w:ascii="仿宋_GB2312" w:hAnsi="仿宋_GB2312" w:eastAsia="仿宋_GB2312" w:cs="仿宋_GB2312"/>
          <w:b/>
          <w:sz w:val="32"/>
          <w:szCs w:val="32"/>
        </w:rPr>
        <w:t>月3</w:t>
      </w:r>
      <w:r>
        <w:rPr>
          <w:rFonts w:ascii="Times New Roman" w:hAnsi="Times New Roman" w:eastAsia="仿宋_GB2312" w:cs="仿宋_GB2312"/>
          <w:b/>
          <w:sz w:val="32"/>
          <w:szCs w:val="32"/>
        </w:rPr>
        <w:t>1</w:t>
      </w:r>
      <w:r>
        <w:rPr>
          <w:rFonts w:ascii="仿宋_GB2312" w:hAnsi="仿宋_GB2312" w:eastAsia="仿宋_GB2312" w:cs="仿宋_GB2312"/>
          <w:b/>
          <w:sz w:val="32"/>
          <w:szCs w:val="32"/>
        </w:rPr>
        <w:t>日-</w:t>
      </w:r>
      <w:r>
        <w:rPr>
          <w:rFonts w:ascii="Times New Roman" w:hAnsi="Times New Roman" w:eastAsia="仿宋_GB2312" w:cs="仿宋_GB2312"/>
          <w:b/>
          <w:sz w:val="32"/>
          <w:szCs w:val="32"/>
        </w:rPr>
        <w:t>2020</w:t>
      </w:r>
      <w:r>
        <w:rPr>
          <w:rFonts w:ascii="仿宋_GB2312" w:hAnsi="仿宋_GB2312" w:eastAsia="仿宋_GB2312" w:cs="仿宋_GB2312"/>
          <w:b/>
          <w:sz w:val="32"/>
          <w:szCs w:val="32"/>
        </w:rPr>
        <w:t>年</w:t>
      </w:r>
      <w:r>
        <w:rPr>
          <w:rFonts w:hint="eastAsia" w:ascii="Times New Roman" w:hAnsi="Times New Roman" w:eastAsia="仿宋_GB2312" w:cs="仿宋_GB2312"/>
          <w:b/>
          <w:sz w:val="32"/>
          <w:szCs w:val="32"/>
        </w:rPr>
        <w:t>11</w:t>
      </w:r>
      <w:r>
        <w:rPr>
          <w:rFonts w:ascii="仿宋_GB2312" w:hAnsi="仿宋_GB2312" w:eastAsia="仿宋_GB2312" w:cs="仿宋_GB2312"/>
          <w:b/>
          <w:sz w:val="32"/>
          <w:szCs w:val="32"/>
        </w:rPr>
        <w:t>月</w:t>
      </w:r>
      <w:r>
        <w:rPr>
          <w:rFonts w:ascii="Times New Roman" w:hAnsi="Times New Roman" w:eastAsia="仿宋_GB2312" w:cs="仿宋_GB2312"/>
          <w:b/>
          <w:sz w:val="32"/>
          <w:szCs w:val="32"/>
        </w:rPr>
        <w:t>1</w:t>
      </w:r>
      <w:r>
        <w:rPr>
          <w:rFonts w:hint="eastAsia" w:ascii="Times New Roman" w:hAnsi="Times New Roman" w:eastAsia="仿宋_GB2312" w:cs="仿宋_GB2312"/>
          <w:b/>
          <w:sz w:val="32"/>
          <w:szCs w:val="32"/>
        </w:rPr>
        <w:t>0</w:t>
      </w:r>
      <w:r>
        <w:rPr>
          <w:rFonts w:ascii="仿宋_GB2312" w:hAnsi="仿宋_GB2312" w:eastAsia="仿宋_GB2312" w:cs="仿宋_GB2312"/>
          <w:b/>
          <w:sz w:val="32"/>
          <w:szCs w:val="32"/>
        </w:rPr>
        <w:t>日）。</w:t>
      </w:r>
      <w:r>
        <w:rPr>
          <w:rFonts w:ascii="仿宋_GB2312" w:hAnsi="仿宋_GB2312" w:eastAsia="仿宋_GB2312" w:cs="仿宋_GB2312"/>
          <w:sz w:val="32"/>
          <w:szCs w:val="32"/>
        </w:rPr>
        <w:t>主要工作内容包括：</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整理工作底稿和评价报告等有关资料，按照档案管理规定建立绩效评价工作档案。</w:t>
      </w:r>
    </w:p>
    <w:p>
      <w:pPr>
        <w:widowControl w:val="0"/>
        <w:ind w:firstLine="640" w:firstLineChars="200"/>
        <w:outlineLvl w:val="0"/>
        <w:rPr>
          <w:rFonts w:ascii="仿宋_GB2312" w:hAnsi="仿宋_GB2312" w:eastAsia="黑体" w:cs="仿宋_GB2312"/>
          <w:b/>
          <w:sz w:val="32"/>
          <w:szCs w:val="32"/>
        </w:rPr>
      </w:pPr>
      <w:bookmarkStart w:id="54" w:name="_Toc22232"/>
      <w:r>
        <w:rPr>
          <w:rFonts w:hint="eastAsia" w:ascii="黑体" w:hAnsi="黑体" w:eastAsia="黑体"/>
          <w:kern w:val="2"/>
          <w:sz w:val="32"/>
          <w:szCs w:val="32"/>
        </w:rPr>
        <w:t>三、绩效评价指标分析</w:t>
      </w:r>
      <w:bookmarkEnd w:id="54"/>
    </w:p>
    <w:p>
      <w:pPr>
        <w:ind w:firstLine="640" w:firstLineChars="200"/>
        <w:outlineLvl w:val="1"/>
        <w:rPr>
          <w:rFonts w:ascii="楷体" w:hAnsi="楷体" w:eastAsia="楷体" w:cs="Times New Roman"/>
          <w:bCs/>
          <w:sz w:val="32"/>
          <w:szCs w:val="32"/>
        </w:rPr>
      </w:pPr>
      <w:bookmarkStart w:id="55" w:name="_Toc26602"/>
      <w:r>
        <w:rPr>
          <w:rFonts w:hint="eastAsia" w:ascii="楷体" w:hAnsi="楷体" w:eastAsia="楷体" w:cs="Times New Roman"/>
          <w:bCs/>
          <w:sz w:val="32"/>
          <w:szCs w:val="32"/>
        </w:rPr>
        <w:t>（一）决策类指标分析</w:t>
      </w:r>
      <w:bookmarkEnd w:id="55"/>
    </w:p>
    <w:p>
      <w:pPr>
        <w:widowControl w:val="0"/>
        <w:ind w:firstLine="640" w:firstLineChars="200"/>
        <w:rPr>
          <w:rFonts w:ascii="仿宋_GB2312" w:hAnsi="仿宋" w:eastAsia="仿宋_GB2312" w:cs="Times New Roman"/>
          <w:sz w:val="32"/>
          <w:szCs w:val="32"/>
        </w:rPr>
      </w:pPr>
      <w:r>
        <w:rPr>
          <w:rFonts w:hint="eastAsia" w:ascii="仿宋_GB2312" w:hAnsi="仿宋_GB2312" w:eastAsia="仿宋_GB2312" w:cs="仿宋_GB2312"/>
          <w:sz w:val="32"/>
          <w:szCs w:val="32"/>
        </w:rPr>
        <w:t>决策类指标主要从项目立项、绩效目标和资金投入</w:t>
      </w:r>
      <w:r>
        <w:rPr>
          <w:rFonts w:ascii="Times New Roman" w:hAnsi="Times New Roman" w:eastAsia="仿宋_GB2312" w:cs="Times New Roman"/>
          <w:sz w:val="32"/>
          <w:szCs w:val="32"/>
        </w:rPr>
        <w:t>3</w:t>
      </w:r>
      <w:r>
        <w:rPr>
          <w:rFonts w:ascii="仿宋_GB2312" w:hAnsi="仿宋_GB2312" w:eastAsia="仿宋_GB2312" w:cs="仿宋_GB2312"/>
          <w:sz w:val="32"/>
          <w:szCs w:val="32"/>
        </w:rPr>
        <w:t>个</w:t>
      </w:r>
      <w:r>
        <w:rPr>
          <w:rFonts w:hint="eastAsia" w:ascii="仿宋_GB2312" w:hAnsi="仿宋_GB2312" w:eastAsia="仿宋_GB2312" w:cs="仿宋_GB2312"/>
          <w:sz w:val="32"/>
          <w:szCs w:val="32"/>
        </w:rPr>
        <w:t>方面对项目过程情况进行评价，共设置</w:t>
      </w:r>
      <w:r>
        <w:rPr>
          <w:rFonts w:ascii="Times New Roman" w:hAnsi="Times New Roman" w:eastAsia="仿宋_GB2312" w:cs="Times New Roman"/>
          <w:sz w:val="32"/>
          <w:szCs w:val="32"/>
        </w:rPr>
        <w:t>6</w:t>
      </w:r>
      <w:r>
        <w:rPr>
          <w:rFonts w:ascii="仿宋_GB2312" w:hAnsi="仿宋_GB2312" w:eastAsia="仿宋_GB2312" w:cs="仿宋_GB2312"/>
          <w:sz w:val="32"/>
          <w:szCs w:val="32"/>
        </w:rPr>
        <w:t>个三级指标。</w:t>
      </w:r>
      <w:r>
        <w:rPr>
          <w:rFonts w:hint="eastAsia" w:ascii="仿宋_GB2312" w:hAnsi="仿宋_GB2312" w:eastAsia="仿宋_GB2312" w:cs="仿宋_GB2312"/>
          <w:sz w:val="32"/>
          <w:szCs w:val="32"/>
        </w:rPr>
        <w:t>决策类指标权重分</w:t>
      </w:r>
      <w:r>
        <w:rPr>
          <w:rFonts w:ascii="Times New Roman" w:hAnsi="Times New Roman" w:eastAsia="仿宋_GB2312" w:cs="Times New Roman"/>
          <w:sz w:val="32"/>
          <w:szCs w:val="32"/>
        </w:rPr>
        <w:t>20</w:t>
      </w:r>
      <w:r>
        <w:rPr>
          <w:rFonts w:ascii="仿宋_GB2312" w:hAnsi="仿宋_GB2312" w:eastAsia="仿宋_GB2312" w:cs="仿宋_GB2312"/>
          <w:sz w:val="32"/>
          <w:szCs w:val="32"/>
        </w:rPr>
        <w:t>分，</w:t>
      </w:r>
      <w:r>
        <w:rPr>
          <w:rFonts w:ascii="仿宋_GB2312" w:hAnsi="仿宋_GB2312" w:eastAsia="仿宋_GB2312" w:cs="仿宋_GB2312"/>
          <w:sz w:val="32"/>
          <w:szCs w:val="32"/>
          <w:highlight w:val="none"/>
        </w:rPr>
        <w:t>评价得分</w:t>
      </w:r>
      <w:r>
        <w:rPr>
          <w:rFonts w:hint="eastAsia" w:ascii="Times New Roman" w:hAnsi="Times New Roman" w:eastAsia="仿宋_GB2312" w:cs="Times New Roman"/>
          <w:sz w:val="32"/>
          <w:szCs w:val="32"/>
          <w:highlight w:val="none"/>
          <w:lang w:val="en-US" w:eastAsia="zh-CN"/>
        </w:rPr>
        <w:t>20</w:t>
      </w:r>
      <w:r>
        <w:rPr>
          <w:rFonts w:ascii="仿宋_GB2312" w:hAnsi="仿宋_GB2312" w:eastAsia="仿宋_GB2312" w:cs="仿宋_GB2312"/>
          <w:sz w:val="32"/>
          <w:szCs w:val="32"/>
          <w:highlight w:val="none"/>
        </w:rPr>
        <w:t>分，得分率为</w:t>
      </w:r>
      <w:r>
        <w:rPr>
          <w:rFonts w:hint="eastAsia" w:ascii="Times New Roman" w:hAnsi="Times New Roman" w:eastAsia="仿宋_GB2312" w:cs="Times New Roman"/>
          <w:sz w:val="32"/>
          <w:szCs w:val="32"/>
          <w:highlight w:val="none"/>
          <w:lang w:val="en-US" w:eastAsia="zh-CN"/>
        </w:rPr>
        <w:t>10</w:t>
      </w:r>
      <w:r>
        <w:rPr>
          <w:rFonts w:ascii="Times New Roman" w:hAnsi="Times New Roman" w:eastAsia="仿宋_GB2312" w:cs="Times New Roman"/>
          <w:sz w:val="32"/>
          <w:szCs w:val="32"/>
          <w:highlight w:val="none"/>
        </w:rPr>
        <w:t>0</w:t>
      </w:r>
      <w:r>
        <w:rPr>
          <w:rFonts w:ascii="仿宋_GB2312" w:hAnsi="仿宋_GB2312" w:eastAsia="仿宋_GB2312" w:cs="仿宋_GB2312"/>
          <w:sz w:val="32"/>
          <w:szCs w:val="32"/>
          <w:highlight w:val="none"/>
        </w:rPr>
        <w:t>%</w:t>
      </w:r>
      <w:r>
        <w:rPr>
          <w:rFonts w:ascii="仿宋_GB2312" w:hAnsi="仿宋_GB2312" w:eastAsia="仿宋_GB2312" w:cs="仿宋_GB2312"/>
          <w:sz w:val="32"/>
          <w:szCs w:val="32"/>
        </w:rPr>
        <w:t>。</w:t>
      </w:r>
      <w:r>
        <w:rPr>
          <w:rFonts w:hint="eastAsia" w:ascii="仿宋_GB2312" w:hAnsi="仿宋" w:eastAsia="仿宋_GB2312" w:cs="Times New Roman"/>
          <w:sz w:val="32"/>
          <w:szCs w:val="32"/>
        </w:rPr>
        <w:t>决策类评价指标及评价得分情况见下表</w:t>
      </w:r>
      <w:r>
        <w:rPr>
          <w:rFonts w:hint="eastAsia" w:ascii="Times New Roman" w:hAnsi="Times New Roman" w:eastAsia="仿宋_GB2312" w:cs="Times New Roman"/>
          <w:sz w:val="32"/>
          <w:szCs w:val="32"/>
        </w:rPr>
        <w:t>3</w:t>
      </w:r>
      <w:r>
        <w:rPr>
          <w:rFonts w:hint="eastAsia" w:ascii="仿宋_GB2312" w:hAnsi="仿宋" w:eastAsia="仿宋_GB2312" w:cs="Times New Roman"/>
          <w:sz w:val="32"/>
          <w:szCs w:val="32"/>
        </w:rPr>
        <w:t>-</w:t>
      </w:r>
      <w:r>
        <w:rPr>
          <w:rFonts w:hint="eastAsia" w:ascii="Times New Roman" w:hAnsi="Times New Roman" w:eastAsia="仿宋_GB2312" w:cs="Times New Roman"/>
          <w:sz w:val="32"/>
          <w:szCs w:val="32"/>
        </w:rPr>
        <w:t>1：</w:t>
      </w:r>
    </w:p>
    <w:p>
      <w:pPr>
        <w:widowControl w:val="0"/>
        <w:ind w:firstLine="560" w:firstLineChars="200"/>
        <w:jc w:val="center"/>
        <w:rPr>
          <w:rFonts w:ascii="仿宋" w:hAnsi="仿宋" w:eastAsia="仿宋" w:cs="仿宋"/>
          <w:sz w:val="32"/>
          <w:szCs w:val="32"/>
        </w:rPr>
      </w:pPr>
      <w:r>
        <w:rPr>
          <w:rFonts w:hint="eastAsia" w:ascii="黑体" w:hAnsi="黑体" w:eastAsia="黑体"/>
          <w:sz w:val="28"/>
          <w:szCs w:val="28"/>
        </w:rPr>
        <w:t>表</w:t>
      </w:r>
      <w:r>
        <w:rPr>
          <w:rFonts w:hint="eastAsia" w:ascii="Times New Roman" w:hAnsi="Times New Roman" w:eastAsia="黑体" w:cs="仿宋_GB2312"/>
          <w:sz w:val="28"/>
          <w:szCs w:val="28"/>
        </w:rPr>
        <w:t>3</w:t>
      </w:r>
      <w:r>
        <w:rPr>
          <w:rFonts w:hint="eastAsia" w:ascii="黑体" w:hAnsi="黑体" w:eastAsia="黑体" w:cs="仿宋_GB2312"/>
          <w:sz w:val="28"/>
          <w:szCs w:val="28"/>
        </w:rPr>
        <w:t>-</w:t>
      </w:r>
      <w:r>
        <w:rPr>
          <w:rFonts w:hint="eastAsia" w:ascii="Times New Roman" w:hAnsi="Times New Roman" w:eastAsia="黑体" w:cs="仿宋_GB2312"/>
          <w:sz w:val="28"/>
          <w:szCs w:val="28"/>
        </w:rPr>
        <w:t>1</w:t>
      </w:r>
      <w:r>
        <w:rPr>
          <w:rFonts w:hint="eastAsia" w:ascii="黑体" w:hAnsi="黑体" w:eastAsia="黑体"/>
          <w:sz w:val="28"/>
          <w:szCs w:val="28"/>
        </w:rPr>
        <w:t xml:space="preserve"> 决策类指标及评价得分情况表</w:t>
      </w:r>
    </w:p>
    <w:tbl>
      <w:tblPr>
        <w:tblStyle w:val="18"/>
        <w:tblW w:w="8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698"/>
        <w:gridCol w:w="1418"/>
        <w:gridCol w:w="708"/>
        <w:gridCol w:w="2410"/>
        <w:gridCol w:w="851"/>
        <w:gridCol w:w="80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blHeader/>
          <w:jc w:val="center"/>
        </w:trPr>
        <w:tc>
          <w:tcPr>
            <w:tcW w:w="1036" w:type="dxa"/>
            <w:shd w:val="clear" w:color="auto" w:fill="A5A5A5" w:themeFill="background1" w:themeFillShade="A6"/>
            <w:vAlign w:val="center"/>
          </w:tcPr>
          <w:p>
            <w:pPr>
              <w:spacing w:line="240" w:lineRule="auto"/>
              <w:jc w:val="center"/>
              <w:rPr>
                <w:rFonts w:cs="仿宋_GB2312"/>
                <w:b/>
                <w:sz w:val="20"/>
                <w:szCs w:val="20"/>
              </w:rPr>
            </w:pPr>
            <w:r>
              <w:rPr>
                <w:rFonts w:hint="eastAsia" w:cs="仿宋_GB2312"/>
                <w:b/>
                <w:sz w:val="20"/>
                <w:szCs w:val="20"/>
              </w:rPr>
              <w:t>一级指标</w:t>
            </w:r>
          </w:p>
        </w:tc>
        <w:tc>
          <w:tcPr>
            <w:tcW w:w="698" w:type="dxa"/>
            <w:shd w:val="clear" w:color="auto" w:fill="A5A5A5" w:themeFill="background1" w:themeFillShade="A6"/>
            <w:vAlign w:val="center"/>
          </w:tcPr>
          <w:p>
            <w:pPr>
              <w:spacing w:line="240" w:lineRule="auto"/>
              <w:jc w:val="center"/>
              <w:rPr>
                <w:rFonts w:cs="仿宋_GB2312"/>
                <w:b/>
                <w:sz w:val="20"/>
                <w:szCs w:val="20"/>
              </w:rPr>
            </w:pPr>
            <w:r>
              <w:rPr>
                <w:rFonts w:hint="eastAsia" w:cs="仿宋_GB2312"/>
                <w:b/>
                <w:sz w:val="20"/>
                <w:szCs w:val="20"/>
              </w:rPr>
              <w:t>权重</w:t>
            </w:r>
          </w:p>
        </w:tc>
        <w:tc>
          <w:tcPr>
            <w:tcW w:w="1418" w:type="dxa"/>
            <w:shd w:val="clear" w:color="auto" w:fill="A5A5A5" w:themeFill="background1" w:themeFillShade="A6"/>
            <w:vAlign w:val="center"/>
          </w:tcPr>
          <w:p>
            <w:pPr>
              <w:spacing w:line="240" w:lineRule="auto"/>
              <w:jc w:val="center"/>
              <w:rPr>
                <w:rFonts w:cs="仿宋_GB2312"/>
                <w:b/>
                <w:sz w:val="20"/>
                <w:szCs w:val="20"/>
              </w:rPr>
            </w:pPr>
            <w:r>
              <w:rPr>
                <w:rFonts w:hint="eastAsia" w:cs="仿宋_GB2312"/>
                <w:b/>
                <w:sz w:val="20"/>
                <w:szCs w:val="20"/>
              </w:rPr>
              <w:t>二级指标</w:t>
            </w:r>
          </w:p>
        </w:tc>
        <w:tc>
          <w:tcPr>
            <w:tcW w:w="708" w:type="dxa"/>
            <w:shd w:val="clear" w:color="auto" w:fill="A5A5A5" w:themeFill="background1" w:themeFillShade="A6"/>
            <w:vAlign w:val="center"/>
          </w:tcPr>
          <w:p>
            <w:pPr>
              <w:spacing w:line="240" w:lineRule="auto"/>
              <w:jc w:val="center"/>
              <w:rPr>
                <w:rFonts w:cs="仿宋_GB2312"/>
                <w:b/>
                <w:sz w:val="20"/>
                <w:szCs w:val="20"/>
              </w:rPr>
            </w:pPr>
            <w:r>
              <w:rPr>
                <w:rFonts w:hint="eastAsia" w:cs="仿宋_GB2312"/>
                <w:b/>
                <w:sz w:val="20"/>
                <w:szCs w:val="20"/>
              </w:rPr>
              <w:t>权重</w:t>
            </w:r>
          </w:p>
        </w:tc>
        <w:tc>
          <w:tcPr>
            <w:tcW w:w="2410" w:type="dxa"/>
            <w:shd w:val="clear" w:color="auto" w:fill="A5A5A5" w:themeFill="background1" w:themeFillShade="A6"/>
            <w:vAlign w:val="center"/>
          </w:tcPr>
          <w:p>
            <w:pPr>
              <w:spacing w:line="240" w:lineRule="auto"/>
              <w:jc w:val="center"/>
              <w:rPr>
                <w:rFonts w:cs="仿宋_GB2312"/>
                <w:b/>
                <w:sz w:val="20"/>
                <w:szCs w:val="20"/>
              </w:rPr>
            </w:pPr>
            <w:r>
              <w:rPr>
                <w:rFonts w:hint="eastAsia" w:cs="仿宋_GB2312"/>
                <w:b/>
                <w:sz w:val="20"/>
                <w:szCs w:val="20"/>
              </w:rPr>
              <w:t>三级指标</w:t>
            </w:r>
          </w:p>
        </w:tc>
        <w:tc>
          <w:tcPr>
            <w:tcW w:w="851" w:type="dxa"/>
            <w:shd w:val="clear" w:color="auto" w:fill="A5A5A5" w:themeFill="background1" w:themeFillShade="A6"/>
            <w:vAlign w:val="center"/>
          </w:tcPr>
          <w:p>
            <w:pPr>
              <w:spacing w:line="240" w:lineRule="auto"/>
              <w:jc w:val="center"/>
              <w:rPr>
                <w:rFonts w:cs="仿宋_GB2312"/>
                <w:b/>
                <w:sz w:val="20"/>
                <w:szCs w:val="20"/>
              </w:rPr>
            </w:pPr>
            <w:r>
              <w:rPr>
                <w:rFonts w:hint="eastAsia" w:cs="仿宋_GB2312"/>
                <w:b/>
                <w:sz w:val="20"/>
                <w:szCs w:val="20"/>
              </w:rPr>
              <w:t>权重</w:t>
            </w:r>
          </w:p>
        </w:tc>
        <w:tc>
          <w:tcPr>
            <w:tcW w:w="807" w:type="dxa"/>
            <w:shd w:val="clear" w:color="auto" w:fill="A5A5A5" w:themeFill="background1" w:themeFillShade="A6"/>
            <w:vAlign w:val="center"/>
          </w:tcPr>
          <w:p>
            <w:pPr>
              <w:spacing w:line="240" w:lineRule="auto"/>
              <w:jc w:val="center"/>
              <w:rPr>
                <w:rFonts w:cs="仿宋_GB2312"/>
                <w:b/>
                <w:sz w:val="20"/>
                <w:szCs w:val="20"/>
              </w:rPr>
            </w:pPr>
            <w:r>
              <w:rPr>
                <w:rFonts w:hint="eastAsia" w:cs="仿宋_GB2312"/>
                <w:b/>
                <w:sz w:val="20"/>
                <w:szCs w:val="20"/>
              </w:rPr>
              <w:t>分值</w:t>
            </w:r>
          </w:p>
        </w:tc>
        <w:tc>
          <w:tcPr>
            <w:tcW w:w="992" w:type="dxa"/>
            <w:shd w:val="clear" w:color="auto" w:fill="A5A5A5" w:themeFill="background1" w:themeFillShade="A6"/>
            <w:vAlign w:val="center"/>
          </w:tcPr>
          <w:p>
            <w:pPr>
              <w:spacing w:line="240" w:lineRule="auto"/>
              <w:jc w:val="center"/>
              <w:rPr>
                <w:rFonts w:cs="仿宋_GB2312"/>
                <w:b/>
                <w:sz w:val="20"/>
                <w:szCs w:val="20"/>
              </w:rPr>
            </w:pPr>
            <w:r>
              <w:rPr>
                <w:rFonts w:hint="eastAsia" w:cs="仿宋_GB2312"/>
                <w:b/>
                <w:sz w:val="20"/>
                <w:szCs w:val="20"/>
              </w:rPr>
              <w:t>得分率</w:t>
            </w:r>
            <w:r>
              <w:rPr>
                <w:rFonts w:hint="eastAsia"/>
                <w:b/>
                <w:bCs/>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36" w:type="dxa"/>
            <w:vMerge w:val="restart"/>
            <w:vAlign w:val="center"/>
          </w:tcPr>
          <w:p>
            <w:pPr>
              <w:widowControl w:val="0"/>
              <w:spacing w:line="240" w:lineRule="auto"/>
              <w:jc w:val="center"/>
              <w:rPr>
                <w:rFonts w:cs="仿宋"/>
                <w:sz w:val="20"/>
                <w:szCs w:val="20"/>
              </w:rPr>
            </w:pPr>
            <w:r>
              <w:rPr>
                <w:rFonts w:hint="eastAsia" w:ascii="Times New Roman" w:hAnsi="Times New Roman" w:cs="仿宋"/>
                <w:sz w:val="20"/>
                <w:szCs w:val="20"/>
              </w:rPr>
              <w:t>A</w:t>
            </w:r>
            <w:r>
              <w:rPr>
                <w:rFonts w:cs="仿宋"/>
                <w:sz w:val="20"/>
                <w:szCs w:val="20"/>
              </w:rPr>
              <w:t>决策</w:t>
            </w:r>
          </w:p>
        </w:tc>
        <w:tc>
          <w:tcPr>
            <w:tcW w:w="698" w:type="dxa"/>
            <w:vMerge w:val="restart"/>
            <w:vAlign w:val="center"/>
          </w:tcPr>
          <w:p>
            <w:pPr>
              <w:widowControl w:val="0"/>
              <w:spacing w:line="240" w:lineRule="auto"/>
              <w:jc w:val="center"/>
              <w:rPr>
                <w:rFonts w:cs="仿宋"/>
                <w:sz w:val="20"/>
                <w:szCs w:val="20"/>
              </w:rPr>
            </w:pPr>
            <w:r>
              <w:rPr>
                <w:rFonts w:hint="eastAsia" w:ascii="Times New Roman" w:hAnsi="Times New Roman" w:cs="仿宋"/>
                <w:sz w:val="20"/>
                <w:szCs w:val="20"/>
              </w:rPr>
              <w:t>20</w:t>
            </w:r>
          </w:p>
        </w:tc>
        <w:tc>
          <w:tcPr>
            <w:tcW w:w="1418" w:type="dxa"/>
            <w:vMerge w:val="restart"/>
            <w:vAlign w:val="center"/>
          </w:tcPr>
          <w:p>
            <w:pPr>
              <w:widowControl w:val="0"/>
              <w:spacing w:line="240" w:lineRule="auto"/>
              <w:jc w:val="center"/>
              <w:rPr>
                <w:rFonts w:cs="仿宋"/>
                <w:sz w:val="20"/>
                <w:szCs w:val="20"/>
              </w:rPr>
            </w:pPr>
            <w:r>
              <w:rPr>
                <w:rFonts w:hint="eastAsia" w:ascii="Times New Roman" w:hAnsi="Times New Roman" w:cs="仿宋"/>
                <w:sz w:val="20"/>
                <w:szCs w:val="20"/>
              </w:rPr>
              <w:t>A1</w:t>
            </w:r>
            <w:r>
              <w:rPr>
                <w:rFonts w:hint="eastAsia" w:cs="仿宋"/>
                <w:sz w:val="20"/>
                <w:szCs w:val="20"/>
              </w:rPr>
              <w:t>项目立项</w:t>
            </w:r>
          </w:p>
        </w:tc>
        <w:tc>
          <w:tcPr>
            <w:tcW w:w="708" w:type="dxa"/>
            <w:vMerge w:val="restart"/>
            <w:vAlign w:val="center"/>
          </w:tcPr>
          <w:p>
            <w:pPr>
              <w:widowControl w:val="0"/>
              <w:spacing w:line="240" w:lineRule="auto"/>
              <w:jc w:val="center"/>
              <w:rPr>
                <w:rFonts w:cs="仿宋"/>
                <w:sz w:val="20"/>
                <w:szCs w:val="20"/>
              </w:rPr>
            </w:pPr>
            <w:r>
              <w:rPr>
                <w:rFonts w:hint="eastAsia" w:ascii="Times New Roman" w:hAnsi="Times New Roman" w:cs="仿宋"/>
                <w:sz w:val="20"/>
                <w:szCs w:val="20"/>
              </w:rPr>
              <w:t>10</w:t>
            </w:r>
          </w:p>
        </w:tc>
        <w:tc>
          <w:tcPr>
            <w:tcW w:w="2410" w:type="dxa"/>
            <w:vAlign w:val="center"/>
          </w:tcPr>
          <w:p>
            <w:pPr>
              <w:widowControl w:val="0"/>
              <w:spacing w:line="240" w:lineRule="auto"/>
              <w:jc w:val="center"/>
              <w:rPr>
                <w:rFonts w:cs="仿宋"/>
                <w:sz w:val="20"/>
                <w:szCs w:val="20"/>
              </w:rPr>
            </w:pPr>
            <w:r>
              <w:rPr>
                <w:rFonts w:hint="eastAsia" w:ascii="Times New Roman" w:hAnsi="Times New Roman" w:cs="仿宋"/>
                <w:sz w:val="20"/>
                <w:szCs w:val="20"/>
              </w:rPr>
              <w:t>A11</w:t>
            </w:r>
            <w:r>
              <w:rPr>
                <w:rFonts w:cs="仿宋"/>
                <w:sz w:val="20"/>
                <w:szCs w:val="20"/>
              </w:rPr>
              <w:t>立项依据充分性</w:t>
            </w:r>
          </w:p>
        </w:tc>
        <w:tc>
          <w:tcPr>
            <w:tcW w:w="851" w:type="dxa"/>
            <w:vAlign w:val="center"/>
          </w:tcPr>
          <w:p>
            <w:pPr>
              <w:spacing w:line="240" w:lineRule="auto"/>
              <w:jc w:val="center"/>
              <w:rPr>
                <w:color w:val="000000"/>
                <w:sz w:val="20"/>
                <w:szCs w:val="20"/>
              </w:rPr>
            </w:pPr>
            <w:r>
              <w:rPr>
                <w:rFonts w:hint="eastAsia" w:ascii="Times New Roman" w:hAnsi="Times New Roman"/>
                <w:color w:val="000000"/>
                <w:sz w:val="20"/>
                <w:szCs w:val="20"/>
              </w:rPr>
              <w:t>6</w:t>
            </w:r>
          </w:p>
        </w:tc>
        <w:tc>
          <w:tcPr>
            <w:tcW w:w="807" w:type="dxa"/>
            <w:vAlign w:val="center"/>
          </w:tcPr>
          <w:p>
            <w:pPr>
              <w:spacing w:line="240" w:lineRule="auto"/>
              <w:jc w:val="center"/>
              <w:rPr>
                <w:color w:val="000000"/>
                <w:sz w:val="20"/>
                <w:szCs w:val="20"/>
                <w:highlight w:val="none"/>
              </w:rPr>
            </w:pPr>
            <w:r>
              <w:rPr>
                <w:rFonts w:hint="eastAsia" w:ascii="Times New Roman" w:hAnsi="Times New Roman"/>
                <w:color w:val="000000"/>
                <w:sz w:val="20"/>
                <w:szCs w:val="20"/>
              </w:rPr>
              <w:t>6</w:t>
            </w:r>
          </w:p>
        </w:tc>
        <w:tc>
          <w:tcPr>
            <w:tcW w:w="992" w:type="dxa"/>
            <w:vAlign w:val="center"/>
          </w:tcPr>
          <w:p>
            <w:pPr>
              <w:spacing w:line="240" w:lineRule="auto"/>
              <w:jc w:val="center"/>
              <w:rPr>
                <w:rFonts w:ascii="Times New Roman" w:hAnsi="Times New Roman"/>
                <w:color w:val="000000"/>
                <w:sz w:val="20"/>
                <w:szCs w:val="20"/>
                <w:highlight w:val="none"/>
              </w:rPr>
            </w:pPr>
            <w:r>
              <w:rPr>
                <w:rFonts w:hint="eastAsia" w:ascii="Times New Roman" w:hAnsi="Times New Roman"/>
                <w:color w:val="000000"/>
                <w:sz w:val="20"/>
                <w:szCs w:val="20"/>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36" w:type="dxa"/>
            <w:vMerge w:val="continue"/>
            <w:vAlign w:val="center"/>
          </w:tcPr>
          <w:p>
            <w:pPr>
              <w:spacing w:line="240" w:lineRule="auto"/>
              <w:jc w:val="center"/>
              <w:rPr>
                <w:color w:val="000000"/>
                <w:sz w:val="20"/>
                <w:szCs w:val="20"/>
              </w:rPr>
            </w:pPr>
          </w:p>
        </w:tc>
        <w:tc>
          <w:tcPr>
            <w:tcW w:w="698" w:type="dxa"/>
            <w:vMerge w:val="continue"/>
            <w:vAlign w:val="center"/>
          </w:tcPr>
          <w:p>
            <w:pPr>
              <w:spacing w:line="240" w:lineRule="auto"/>
              <w:jc w:val="center"/>
              <w:rPr>
                <w:color w:val="000000"/>
                <w:sz w:val="20"/>
                <w:szCs w:val="20"/>
              </w:rPr>
            </w:pPr>
          </w:p>
        </w:tc>
        <w:tc>
          <w:tcPr>
            <w:tcW w:w="1418" w:type="dxa"/>
            <w:vMerge w:val="continue"/>
            <w:vAlign w:val="center"/>
          </w:tcPr>
          <w:p>
            <w:pPr>
              <w:spacing w:line="240" w:lineRule="auto"/>
              <w:jc w:val="center"/>
              <w:rPr>
                <w:color w:val="000000"/>
                <w:sz w:val="20"/>
                <w:szCs w:val="20"/>
              </w:rPr>
            </w:pPr>
          </w:p>
        </w:tc>
        <w:tc>
          <w:tcPr>
            <w:tcW w:w="708" w:type="dxa"/>
            <w:vMerge w:val="continue"/>
            <w:vAlign w:val="center"/>
          </w:tcPr>
          <w:p>
            <w:pPr>
              <w:spacing w:line="240" w:lineRule="auto"/>
              <w:jc w:val="center"/>
              <w:rPr>
                <w:color w:val="000000"/>
                <w:sz w:val="20"/>
                <w:szCs w:val="20"/>
              </w:rPr>
            </w:pPr>
          </w:p>
        </w:tc>
        <w:tc>
          <w:tcPr>
            <w:tcW w:w="2410" w:type="dxa"/>
            <w:vAlign w:val="center"/>
          </w:tcPr>
          <w:p>
            <w:pPr>
              <w:spacing w:line="240" w:lineRule="auto"/>
              <w:jc w:val="center"/>
              <w:rPr>
                <w:color w:val="000000"/>
                <w:sz w:val="20"/>
                <w:szCs w:val="20"/>
              </w:rPr>
            </w:pPr>
            <w:r>
              <w:rPr>
                <w:rFonts w:hint="eastAsia" w:ascii="Times New Roman" w:hAnsi="Times New Roman" w:cs="仿宋"/>
                <w:sz w:val="20"/>
                <w:szCs w:val="20"/>
              </w:rPr>
              <w:t>A12</w:t>
            </w:r>
            <w:r>
              <w:rPr>
                <w:rFonts w:cs="仿宋"/>
                <w:sz w:val="20"/>
                <w:szCs w:val="20"/>
              </w:rPr>
              <w:t>立项程序规范性</w:t>
            </w:r>
          </w:p>
        </w:tc>
        <w:tc>
          <w:tcPr>
            <w:tcW w:w="851" w:type="dxa"/>
            <w:vAlign w:val="center"/>
          </w:tcPr>
          <w:p>
            <w:pPr>
              <w:spacing w:line="240" w:lineRule="auto"/>
              <w:jc w:val="center"/>
              <w:rPr>
                <w:color w:val="000000"/>
                <w:sz w:val="20"/>
                <w:szCs w:val="20"/>
              </w:rPr>
            </w:pPr>
            <w:r>
              <w:rPr>
                <w:rFonts w:hint="eastAsia" w:ascii="Times New Roman" w:hAnsi="Times New Roman"/>
                <w:color w:val="000000"/>
                <w:sz w:val="20"/>
                <w:szCs w:val="20"/>
              </w:rPr>
              <w:t>4</w:t>
            </w:r>
          </w:p>
        </w:tc>
        <w:tc>
          <w:tcPr>
            <w:tcW w:w="807" w:type="dxa"/>
            <w:vAlign w:val="center"/>
          </w:tcPr>
          <w:p>
            <w:pPr>
              <w:spacing w:line="240" w:lineRule="auto"/>
              <w:jc w:val="center"/>
              <w:rPr>
                <w:color w:val="000000"/>
                <w:sz w:val="20"/>
                <w:szCs w:val="20"/>
                <w:highlight w:val="none"/>
              </w:rPr>
            </w:pPr>
            <w:r>
              <w:rPr>
                <w:rFonts w:hint="eastAsia" w:ascii="Times New Roman" w:hAnsi="Times New Roman"/>
                <w:color w:val="000000"/>
                <w:sz w:val="20"/>
                <w:szCs w:val="20"/>
              </w:rPr>
              <w:t>4</w:t>
            </w:r>
          </w:p>
        </w:tc>
        <w:tc>
          <w:tcPr>
            <w:tcW w:w="992" w:type="dxa"/>
            <w:vAlign w:val="center"/>
          </w:tcPr>
          <w:p>
            <w:pPr>
              <w:spacing w:line="240" w:lineRule="auto"/>
              <w:jc w:val="center"/>
              <w:rPr>
                <w:rFonts w:ascii="Times New Roman" w:hAnsi="Times New Roman"/>
                <w:color w:val="000000"/>
                <w:sz w:val="20"/>
                <w:szCs w:val="20"/>
                <w:highlight w:val="none"/>
              </w:rPr>
            </w:pPr>
            <w:r>
              <w:rPr>
                <w:rFonts w:hint="eastAsia" w:ascii="Times New Roman" w:hAnsi="Times New Roman"/>
                <w:color w:val="000000"/>
                <w:sz w:val="20"/>
                <w:szCs w:val="20"/>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036" w:type="dxa"/>
            <w:vMerge w:val="continue"/>
            <w:vAlign w:val="center"/>
          </w:tcPr>
          <w:p>
            <w:pPr>
              <w:spacing w:line="240" w:lineRule="auto"/>
              <w:jc w:val="center"/>
              <w:rPr>
                <w:color w:val="000000"/>
                <w:sz w:val="20"/>
                <w:szCs w:val="20"/>
              </w:rPr>
            </w:pPr>
          </w:p>
        </w:tc>
        <w:tc>
          <w:tcPr>
            <w:tcW w:w="698" w:type="dxa"/>
            <w:vMerge w:val="continue"/>
            <w:vAlign w:val="center"/>
          </w:tcPr>
          <w:p>
            <w:pPr>
              <w:spacing w:line="240" w:lineRule="auto"/>
              <w:jc w:val="center"/>
              <w:rPr>
                <w:color w:val="000000"/>
                <w:sz w:val="20"/>
                <w:szCs w:val="20"/>
              </w:rPr>
            </w:pPr>
          </w:p>
        </w:tc>
        <w:tc>
          <w:tcPr>
            <w:tcW w:w="1418" w:type="dxa"/>
            <w:vMerge w:val="restart"/>
            <w:vAlign w:val="center"/>
          </w:tcPr>
          <w:p>
            <w:pPr>
              <w:spacing w:line="240" w:lineRule="auto"/>
              <w:jc w:val="center"/>
              <w:rPr>
                <w:color w:val="000000"/>
                <w:sz w:val="20"/>
                <w:szCs w:val="20"/>
              </w:rPr>
            </w:pPr>
            <w:r>
              <w:rPr>
                <w:rFonts w:hint="eastAsia" w:ascii="Times New Roman" w:hAnsi="Times New Roman" w:cs="仿宋"/>
                <w:sz w:val="20"/>
                <w:szCs w:val="20"/>
              </w:rPr>
              <w:t>A2</w:t>
            </w:r>
            <w:r>
              <w:rPr>
                <w:rFonts w:hint="eastAsia" w:cs="仿宋"/>
                <w:sz w:val="20"/>
                <w:szCs w:val="20"/>
              </w:rPr>
              <w:t>绩效目标</w:t>
            </w:r>
          </w:p>
        </w:tc>
        <w:tc>
          <w:tcPr>
            <w:tcW w:w="708" w:type="dxa"/>
            <w:vMerge w:val="restart"/>
            <w:vAlign w:val="center"/>
          </w:tcPr>
          <w:p>
            <w:pPr>
              <w:spacing w:line="240" w:lineRule="auto"/>
              <w:jc w:val="center"/>
              <w:rPr>
                <w:color w:val="000000"/>
                <w:sz w:val="20"/>
                <w:szCs w:val="20"/>
              </w:rPr>
            </w:pPr>
            <w:r>
              <w:rPr>
                <w:rFonts w:hint="eastAsia" w:ascii="Times New Roman" w:hAnsi="Times New Roman" w:cs="仿宋"/>
                <w:sz w:val="20"/>
                <w:szCs w:val="20"/>
              </w:rPr>
              <w:t>4</w:t>
            </w:r>
          </w:p>
        </w:tc>
        <w:tc>
          <w:tcPr>
            <w:tcW w:w="2410" w:type="dxa"/>
            <w:vAlign w:val="center"/>
          </w:tcPr>
          <w:p>
            <w:pPr>
              <w:spacing w:line="240" w:lineRule="auto"/>
              <w:jc w:val="center"/>
              <w:rPr>
                <w:color w:val="000000"/>
                <w:sz w:val="20"/>
                <w:szCs w:val="20"/>
              </w:rPr>
            </w:pPr>
            <w:r>
              <w:rPr>
                <w:rFonts w:hint="eastAsia" w:ascii="Times New Roman" w:hAnsi="Times New Roman" w:cs="仿宋"/>
                <w:sz w:val="20"/>
                <w:szCs w:val="20"/>
              </w:rPr>
              <w:t>A21</w:t>
            </w:r>
            <w:r>
              <w:rPr>
                <w:rFonts w:cs="仿宋"/>
                <w:sz w:val="20"/>
                <w:szCs w:val="20"/>
              </w:rPr>
              <w:t>绩效目标合理性</w:t>
            </w:r>
          </w:p>
        </w:tc>
        <w:tc>
          <w:tcPr>
            <w:tcW w:w="851" w:type="dxa"/>
            <w:vAlign w:val="center"/>
          </w:tcPr>
          <w:p>
            <w:pPr>
              <w:spacing w:line="240" w:lineRule="auto"/>
              <w:jc w:val="center"/>
              <w:rPr>
                <w:color w:val="000000"/>
                <w:sz w:val="20"/>
                <w:szCs w:val="20"/>
              </w:rPr>
            </w:pPr>
            <w:r>
              <w:rPr>
                <w:rFonts w:hint="eastAsia" w:ascii="Times New Roman" w:hAnsi="Times New Roman"/>
                <w:color w:val="000000"/>
                <w:sz w:val="20"/>
                <w:szCs w:val="20"/>
              </w:rPr>
              <w:t>2</w:t>
            </w:r>
          </w:p>
        </w:tc>
        <w:tc>
          <w:tcPr>
            <w:tcW w:w="807" w:type="dxa"/>
            <w:vAlign w:val="center"/>
          </w:tcPr>
          <w:p>
            <w:pPr>
              <w:spacing w:line="240" w:lineRule="auto"/>
              <w:jc w:val="center"/>
              <w:rPr>
                <w:color w:val="000000"/>
                <w:sz w:val="20"/>
                <w:szCs w:val="20"/>
                <w:highlight w:val="none"/>
              </w:rPr>
            </w:pPr>
            <w:r>
              <w:rPr>
                <w:rFonts w:hint="eastAsia" w:ascii="Times New Roman" w:hAnsi="Times New Roman"/>
                <w:color w:val="000000"/>
                <w:sz w:val="20"/>
                <w:szCs w:val="20"/>
              </w:rPr>
              <w:t>2</w:t>
            </w:r>
          </w:p>
        </w:tc>
        <w:tc>
          <w:tcPr>
            <w:tcW w:w="992" w:type="dxa"/>
            <w:vAlign w:val="center"/>
          </w:tcPr>
          <w:p>
            <w:pPr>
              <w:spacing w:line="240" w:lineRule="auto"/>
              <w:jc w:val="center"/>
              <w:rPr>
                <w:rFonts w:ascii="Times New Roman" w:hAnsi="Times New Roman"/>
                <w:color w:val="000000"/>
                <w:sz w:val="20"/>
                <w:szCs w:val="20"/>
                <w:highlight w:val="none"/>
              </w:rPr>
            </w:pPr>
            <w:r>
              <w:rPr>
                <w:rFonts w:hint="eastAsia" w:ascii="Times New Roman" w:hAnsi="Times New Roman"/>
                <w:color w:val="000000"/>
                <w:sz w:val="20"/>
                <w:szCs w:val="20"/>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036" w:type="dxa"/>
            <w:vMerge w:val="continue"/>
            <w:vAlign w:val="center"/>
          </w:tcPr>
          <w:p>
            <w:pPr>
              <w:spacing w:line="240" w:lineRule="auto"/>
              <w:jc w:val="center"/>
              <w:rPr>
                <w:color w:val="000000"/>
                <w:sz w:val="20"/>
                <w:szCs w:val="20"/>
              </w:rPr>
            </w:pPr>
          </w:p>
        </w:tc>
        <w:tc>
          <w:tcPr>
            <w:tcW w:w="698" w:type="dxa"/>
            <w:vMerge w:val="continue"/>
            <w:vAlign w:val="center"/>
          </w:tcPr>
          <w:p>
            <w:pPr>
              <w:spacing w:line="240" w:lineRule="auto"/>
              <w:jc w:val="center"/>
              <w:rPr>
                <w:color w:val="000000"/>
                <w:sz w:val="20"/>
                <w:szCs w:val="20"/>
              </w:rPr>
            </w:pPr>
          </w:p>
        </w:tc>
        <w:tc>
          <w:tcPr>
            <w:tcW w:w="1418" w:type="dxa"/>
            <w:vMerge w:val="continue"/>
            <w:vAlign w:val="center"/>
          </w:tcPr>
          <w:p>
            <w:pPr>
              <w:spacing w:line="240" w:lineRule="auto"/>
              <w:jc w:val="center"/>
              <w:rPr>
                <w:color w:val="000000"/>
                <w:sz w:val="20"/>
                <w:szCs w:val="20"/>
              </w:rPr>
            </w:pPr>
          </w:p>
        </w:tc>
        <w:tc>
          <w:tcPr>
            <w:tcW w:w="708" w:type="dxa"/>
            <w:vMerge w:val="continue"/>
            <w:vAlign w:val="center"/>
          </w:tcPr>
          <w:p>
            <w:pPr>
              <w:spacing w:line="240" w:lineRule="auto"/>
              <w:jc w:val="center"/>
              <w:rPr>
                <w:color w:val="000000"/>
                <w:sz w:val="20"/>
                <w:szCs w:val="20"/>
              </w:rPr>
            </w:pPr>
          </w:p>
        </w:tc>
        <w:tc>
          <w:tcPr>
            <w:tcW w:w="2410" w:type="dxa"/>
            <w:vAlign w:val="center"/>
          </w:tcPr>
          <w:p>
            <w:pPr>
              <w:spacing w:line="240" w:lineRule="auto"/>
              <w:jc w:val="center"/>
              <w:rPr>
                <w:color w:val="000000"/>
                <w:sz w:val="20"/>
                <w:szCs w:val="20"/>
              </w:rPr>
            </w:pPr>
            <w:r>
              <w:rPr>
                <w:rFonts w:hint="eastAsia" w:ascii="Times New Roman" w:hAnsi="Times New Roman" w:cs="仿宋"/>
                <w:sz w:val="20"/>
                <w:szCs w:val="20"/>
              </w:rPr>
              <w:t>A22</w:t>
            </w:r>
            <w:r>
              <w:rPr>
                <w:rFonts w:cs="仿宋"/>
                <w:sz w:val="20"/>
                <w:szCs w:val="20"/>
              </w:rPr>
              <w:t>绩效指标明确性</w:t>
            </w:r>
          </w:p>
        </w:tc>
        <w:tc>
          <w:tcPr>
            <w:tcW w:w="851" w:type="dxa"/>
            <w:vAlign w:val="center"/>
          </w:tcPr>
          <w:p>
            <w:pPr>
              <w:spacing w:line="240" w:lineRule="auto"/>
              <w:jc w:val="center"/>
              <w:rPr>
                <w:color w:val="000000"/>
                <w:sz w:val="20"/>
                <w:szCs w:val="20"/>
              </w:rPr>
            </w:pPr>
            <w:r>
              <w:rPr>
                <w:rFonts w:hint="eastAsia" w:ascii="Times New Roman" w:hAnsi="Times New Roman"/>
                <w:color w:val="000000"/>
                <w:sz w:val="20"/>
                <w:szCs w:val="20"/>
              </w:rPr>
              <w:t>2</w:t>
            </w:r>
          </w:p>
        </w:tc>
        <w:tc>
          <w:tcPr>
            <w:tcW w:w="807" w:type="dxa"/>
            <w:vAlign w:val="center"/>
          </w:tcPr>
          <w:p>
            <w:pPr>
              <w:spacing w:line="240" w:lineRule="auto"/>
              <w:jc w:val="center"/>
              <w:rPr>
                <w:color w:val="000000"/>
                <w:sz w:val="20"/>
                <w:szCs w:val="20"/>
                <w:highlight w:val="none"/>
              </w:rPr>
            </w:pPr>
            <w:r>
              <w:rPr>
                <w:rFonts w:hint="eastAsia" w:ascii="Times New Roman" w:hAnsi="Times New Roman"/>
                <w:color w:val="000000"/>
                <w:sz w:val="20"/>
                <w:szCs w:val="20"/>
              </w:rPr>
              <w:t>2</w:t>
            </w:r>
          </w:p>
        </w:tc>
        <w:tc>
          <w:tcPr>
            <w:tcW w:w="992" w:type="dxa"/>
            <w:vAlign w:val="center"/>
          </w:tcPr>
          <w:p>
            <w:pPr>
              <w:spacing w:line="240" w:lineRule="auto"/>
              <w:jc w:val="center"/>
              <w:rPr>
                <w:rFonts w:ascii="Times New Roman" w:hAnsi="Times New Roman"/>
                <w:color w:val="000000"/>
                <w:sz w:val="20"/>
                <w:szCs w:val="20"/>
                <w:highlight w:val="none"/>
              </w:rPr>
            </w:pPr>
            <w:r>
              <w:rPr>
                <w:rFonts w:hint="eastAsia" w:ascii="Times New Roman" w:hAnsi="Times New Roman"/>
                <w:color w:val="000000"/>
                <w:sz w:val="20"/>
                <w:szCs w:val="20"/>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6" w:type="dxa"/>
            <w:vMerge w:val="continue"/>
            <w:vAlign w:val="center"/>
          </w:tcPr>
          <w:p>
            <w:pPr>
              <w:spacing w:line="240" w:lineRule="auto"/>
              <w:jc w:val="center"/>
              <w:rPr>
                <w:color w:val="000000"/>
                <w:sz w:val="20"/>
                <w:szCs w:val="20"/>
              </w:rPr>
            </w:pPr>
          </w:p>
        </w:tc>
        <w:tc>
          <w:tcPr>
            <w:tcW w:w="698" w:type="dxa"/>
            <w:vMerge w:val="continue"/>
            <w:vAlign w:val="center"/>
          </w:tcPr>
          <w:p>
            <w:pPr>
              <w:spacing w:line="240" w:lineRule="auto"/>
              <w:jc w:val="center"/>
              <w:rPr>
                <w:color w:val="000000"/>
                <w:sz w:val="20"/>
                <w:szCs w:val="20"/>
              </w:rPr>
            </w:pPr>
          </w:p>
        </w:tc>
        <w:tc>
          <w:tcPr>
            <w:tcW w:w="1418" w:type="dxa"/>
            <w:vMerge w:val="restart"/>
            <w:vAlign w:val="center"/>
          </w:tcPr>
          <w:p>
            <w:pPr>
              <w:spacing w:line="240" w:lineRule="auto"/>
              <w:jc w:val="center"/>
              <w:rPr>
                <w:color w:val="000000"/>
                <w:sz w:val="20"/>
                <w:szCs w:val="20"/>
              </w:rPr>
            </w:pPr>
            <w:r>
              <w:rPr>
                <w:rFonts w:hint="eastAsia" w:ascii="Times New Roman" w:hAnsi="Times New Roman" w:cs="仿宋"/>
                <w:sz w:val="20"/>
                <w:szCs w:val="20"/>
              </w:rPr>
              <w:t>A3</w:t>
            </w:r>
            <w:r>
              <w:rPr>
                <w:rFonts w:hint="eastAsia" w:cs="仿宋"/>
                <w:sz w:val="20"/>
                <w:szCs w:val="20"/>
              </w:rPr>
              <w:t>资金投入</w:t>
            </w:r>
          </w:p>
        </w:tc>
        <w:tc>
          <w:tcPr>
            <w:tcW w:w="708" w:type="dxa"/>
            <w:vMerge w:val="restart"/>
            <w:vAlign w:val="center"/>
          </w:tcPr>
          <w:p>
            <w:pPr>
              <w:spacing w:line="240" w:lineRule="auto"/>
              <w:jc w:val="center"/>
              <w:rPr>
                <w:color w:val="000000"/>
                <w:sz w:val="20"/>
                <w:szCs w:val="20"/>
              </w:rPr>
            </w:pPr>
            <w:r>
              <w:rPr>
                <w:rFonts w:hint="eastAsia" w:ascii="Times New Roman" w:hAnsi="Times New Roman" w:cs="仿宋"/>
                <w:sz w:val="20"/>
                <w:szCs w:val="20"/>
              </w:rPr>
              <w:t>6</w:t>
            </w:r>
          </w:p>
        </w:tc>
        <w:tc>
          <w:tcPr>
            <w:tcW w:w="2410" w:type="dxa"/>
            <w:vAlign w:val="center"/>
          </w:tcPr>
          <w:p>
            <w:pPr>
              <w:spacing w:line="240" w:lineRule="auto"/>
              <w:jc w:val="center"/>
              <w:rPr>
                <w:color w:val="000000"/>
                <w:sz w:val="20"/>
                <w:szCs w:val="20"/>
              </w:rPr>
            </w:pPr>
            <w:r>
              <w:rPr>
                <w:rFonts w:hint="eastAsia" w:ascii="Times New Roman" w:hAnsi="Times New Roman" w:cs="仿宋"/>
                <w:sz w:val="20"/>
                <w:szCs w:val="20"/>
              </w:rPr>
              <w:t>A31</w:t>
            </w:r>
            <w:r>
              <w:rPr>
                <w:rFonts w:cs="仿宋"/>
                <w:sz w:val="20"/>
                <w:szCs w:val="20"/>
              </w:rPr>
              <w:t>预算编制科学性</w:t>
            </w:r>
          </w:p>
        </w:tc>
        <w:tc>
          <w:tcPr>
            <w:tcW w:w="851" w:type="dxa"/>
            <w:vAlign w:val="center"/>
          </w:tcPr>
          <w:p>
            <w:pPr>
              <w:spacing w:line="240" w:lineRule="auto"/>
              <w:jc w:val="center"/>
              <w:rPr>
                <w:color w:val="000000"/>
                <w:sz w:val="20"/>
                <w:szCs w:val="20"/>
              </w:rPr>
            </w:pPr>
            <w:r>
              <w:rPr>
                <w:rFonts w:hint="eastAsia" w:ascii="Times New Roman" w:hAnsi="Times New Roman"/>
                <w:color w:val="000000"/>
                <w:sz w:val="20"/>
                <w:szCs w:val="20"/>
              </w:rPr>
              <w:t>3</w:t>
            </w:r>
          </w:p>
        </w:tc>
        <w:tc>
          <w:tcPr>
            <w:tcW w:w="807" w:type="dxa"/>
            <w:vAlign w:val="center"/>
          </w:tcPr>
          <w:p>
            <w:pPr>
              <w:spacing w:line="240" w:lineRule="auto"/>
              <w:jc w:val="center"/>
              <w:rPr>
                <w:color w:val="000000"/>
                <w:sz w:val="20"/>
                <w:szCs w:val="20"/>
                <w:highlight w:val="none"/>
              </w:rPr>
            </w:pPr>
            <w:r>
              <w:rPr>
                <w:rFonts w:hint="eastAsia" w:ascii="Times New Roman" w:hAnsi="Times New Roman"/>
                <w:color w:val="000000"/>
                <w:sz w:val="20"/>
                <w:szCs w:val="20"/>
              </w:rPr>
              <w:t>3</w:t>
            </w:r>
          </w:p>
        </w:tc>
        <w:tc>
          <w:tcPr>
            <w:tcW w:w="992" w:type="dxa"/>
            <w:vAlign w:val="center"/>
          </w:tcPr>
          <w:p>
            <w:pPr>
              <w:spacing w:line="240" w:lineRule="auto"/>
              <w:jc w:val="center"/>
              <w:rPr>
                <w:rFonts w:ascii="Times New Roman" w:hAnsi="Times New Roman"/>
                <w:color w:val="000000"/>
                <w:sz w:val="20"/>
                <w:szCs w:val="20"/>
                <w:highlight w:val="none"/>
              </w:rPr>
            </w:pPr>
            <w:r>
              <w:rPr>
                <w:rFonts w:hint="eastAsia" w:ascii="Times New Roman" w:hAnsi="Times New Roman"/>
                <w:color w:val="000000"/>
                <w:sz w:val="20"/>
                <w:szCs w:val="20"/>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5" w:hRule="atLeast"/>
          <w:jc w:val="center"/>
        </w:trPr>
        <w:tc>
          <w:tcPr>
            <w:tcW w:w="1036" w:type="dxa"/>
            <w:vMerge w:val="continue"/>
            <w:vAlign w:val="center"/>
          </w:tcPr>
          <w:p>
            <w:pPr>
              <w:spacing w:line="240" w:lineRule="auto"/>
              <w:jc w:val="center"/>
              <w:rPr>
                <w:color w:val="000000"/>
                <w:sz w:val="20"/>
                <w:szCs w:val="20"/>
              </w:rPr>
            </w:pPr>
          </w:p>
        </w:tc>
        <w:tc>
          <w:tcPr>
            <w:tcW w:w="698" w:type="dxa"/>
            <w:vMerge w:val="continue"/>
            <w:vAlign w:val="center"/>
          </w:tcPr>
          <w:p>
            <w:pPr>
              <w:spacing w:line="240" w:lineRule="auto"/>
              <w:jc w:val="center"/>
              <w:rPr>
                <w:color w:val="000000"/>
                <w:sz w:val="20"/>
                <w:szCs w:val="20"/>
              </w:rPr>
            </w:pPr>
          </w:p>
        </w:tc>
        <w:tc>
          <w:tcPr>
            <w:tcW w:w="1418" w:type="dxa"/>
            <w:vMerge w:val="continue"/>
            <w:vAlign w:val="center"/>
          </w:tcPr>
          <w:p>
            <w:pPr>
              <w:spacing w:line="240" w:lineRule="auto"/>
              <w:jc w:val="center"/>
              <w:rPr>
                <w:color w:val="000000"/>
                <w:sz w:val="20"/>
                <w:szCs w:val="20"/>
              </w:rPr>
            </w:pPr>
          </w:p>
        </w:tc>
        <w:tc>
          <w:tcPr>
            <w:tcW w:w="708" w:type="dxa"/>
            <w:vMerge w:val="continue"/>
            <w:vAlign w:val="center"/>
          </w:tcPr>
          <w:p>
            <w:pPr>
              <w:spacing w:line="240" w:lineRule="auto"/>
              <w:jc w:val="center"/>
              <w:rPr>
                <w:color w:val="000000"/>
                <w:sz w:val="20"/>
                <w:szCs w:val="20"/>
              </w:rPr>
            </w:pPr>
          </w:p>
        </w:tc>
        <w:tc>
          <w:tcPr>
            <w:tcW w:w="2410" w:type="dxa"/>
            <w:vAlign w:val="center"/>
          </w:tcPr>
          <w:p>
            <w:pPr>
              <w:spacing w:line="240" w:lineRule="auto"/>
              <w:jc w:val="center"/>
              <w:rPr>
                <w:color w:val="000000"/>
                <w:sz w:val="20"/>
                <w:szCs w:val="20"/>
              </w:rPr>
            </w:pPr>
            <w:r>
              <w:rPr>
                <w:rFonts w:hint="eastAsia" w:ascii="Times New Roman" w:hAnsi="Times New Roman" w:cs="仿宋"/>
                <w:sz w:val="20"/>
                <w:szCs w:val="20"/>
              </w:rPr>
              <w:t>A32</w:t>
            </w:r>
            <w:r>
              <w:rPr>
                <w:rFonts w:cs="仿宋"/>
                <w:sz w:val="20"/>
                <w:szCs w:val="20"/>
              </w:rPr>
              <w:t>资金分配合理性</w:t>
            </w:r>
          </w:p>
        </w:tc>
        <w:tc>
          <w:tcPr>
            <w:tcW w:w="851" w:type="dxa"/>
            <w:vAlign w:val="center"/>
          </w:tcPr>
          <w:p>
            <w:pPr>
              <w:spacing w:line="240" w:lineRule="auto"/>
              <w:jc w:val="center"/>
              <w:rPr>
                <w:color w:val="000000"/>
                <w:sz w:val="20"/>
                <w:szCs w:val="20"/>
              </w:rPr>
            </w:pPr>
            <w:r>
              <w:rPr>
                <w:rFonts w:hint="eastAsia" w:ascii="Times New Roman" w:hAnsi="Times New Roman"/>
                <w:color w:val="000000"/>
                <w:sz w:val="20"/>
                <w:szCs w:val="20"/>
              </w:rPr>
              <w:t>3</w:t>
            </w:r>
          </w:p>
        </w:tc>
        <w:tc>
          <w:tcPr>
            <w:tcW w:w="807" w:type="dxa"/>
            <w:vAlign w:val="center"/>
          </w:tcPr>
          <w:p>
            <w:pPr>
              <w:spacing w:line="240" w:lineRule="auto"/>
              <w:jc w:val="center"/>
              <w:rPr>
                <w:color w:val="000000"/>
                <w:sz w:val="20"/>
                <w:szCs w:val="20"/>
                <w:highlight w:val="none"/>
              </w:rPr>
            </w:pPr>
            <w:r>
              <w:rPr>
                <w:rFonts w:hint="eastAsia" w:ascii="Times New Roman" w:hAnsi="Times New Roman"/>
                <w:color w:val="000000"/>
                <w:sz w:val="20"/>
                <w:szCs w:val="20"/>
              </w:rPr>
              <w:t>3</w:t>
            </w:r>
          </w:p>
        </w:tc>
        <w:tc>
          <w:tcPr>
            <w:tcW w:w="992" w:type="dxa"/>
            <w:vAlign w:val="center"/>
          </w:tcPr>
          <w:p>
            <w:pPr>
              <w:spacing w:line="240" w:lineRule="auto"/>
              <w:jc w:val="center"/>
              <w:rPr>
                <w:rFonts w:ascii="Times New Roman" w:hAnsi="Times New Roman"/>
                <w:color w:val="000000"/>
                <w:sz w:val="20"/>
                <w:szCs w:val="20"/>
                <w:highlight w:val="none"/>
              </w:rPr>
            </w:pPr>
            <w:r>
              <w:rPr>
                <w:rFonts w:hint="eastAsia" w:ascii="Times New Roman" w:hAnsi="Times New Roman"/>
                <w:color w:val="000000"/>
                <w:sz w:val="20"/>
                <w:szCs w:val="20"/>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036" w:type="dxa"/>
            <w:vAlign w:val="center"/>
          </w:tcPr>
          <w:p>
            <w:pPr>
              <w:spacing w:line="240" w:lineRule="auto"/>
              <w:jc w:val="center"/>
              <w:rPr>
                <w:color w:val="000000"/>
                <w:sz w:val="20"/>
                <w:szCs w:val="20"/>
              </w:rPr>
            </w:pPr>
            <w:r>
              <w:rPr>
                <w:rFonts w:hint="eastAsia"/>
                <w:color w:val="000000"/>
                <w:sz w:val="20"/>
                <w:szCs w:val="20"/>
              </w:rPr>
              <w:t>合计</w:t>
            </w:r>
          </w:p>
        </w:tc>
        <w:tc>
          <w:tcPr>
            <w:tcW w:w="698" w:type="dxa"/>
            <w:vAlign w:val="center"/>
          </w:tcPr>
          <w:p>
            <w:pPr>
              <w:spacing w:line="240" w:lineRule="auto"/>
              <w:jc w:val="center"/>
              <w:rPr>
                <w:color w:val="000000"/>
                <w:sz w:val="20"/>
                <w:szCs w:val="20"/>
              </w:rPr>
            </w:pPr>
            <w:r>
              <w:rPr>
                <w:color w:val="000000"/>
                <w:sz w:val="20"/>
                <w:szCs w:val="20"/>
              </w:rPr>
              <w:t>20</w:t>
            </w:r>
          </w:p>
        </w:tc>
        <w:tc>
          <w:tcPr>
            <w:tcW w:w="1418" w:type="dxa"/>
            <w:vAlign w:val="center"/>
          </w:tcPr>
          <w:p>
            <w:pPr>
              <w:spacing w:line="240" w:lineRule="auto"/>
              <w:jc w:val="center"/>
              <w:rPr>
                <w:color w:val="000000"/>
                <w:sz w:val="20"/>
                <w:szCs w:val="20"/>
              </w:rPr>
            </w:pPr>
          </w:p>
        </w:tc>
        <w:tc>
          <w:tcPr>
            <w:tcW w:w="708" w:type="dxa"/>
            <w:vAlign w:val="center"/>
          </w:tcPr>
          <w:p>
            <w:pPr>
              <w:spacing w:line="240" w:lineRule="auto"/>
              <w:jc w:val="center"/>
              <w:rPr>
                <w:color w:val="000000"/>
                <w:sz w:val="20"/>
                <w:szCs w:val="20"/>
              </w:rPr>
            </w:pPr>
            <w:r>
              <w:rPr>
                <w:color w:val="000000"/>
                <w:sz w:val="20"/>
                <w:szCs w:val="20"/>
              </w:rPr>
              <w:t>20</w:t>
            </w:r>
          </w:p>
        </w:tc>
        <w:tc>
          <w:tcPr>
            <w:tcW w:w="2410" w:type="dxa"/>
            <w:vAlign w:val="center"/>
          </w:tcPr>
          <w:p>
            <w:pPr>
              <w:spacing w:line="240" w:lineRule="auto"/>
              <w:jc w:val="center"/>
              <w:rPr>
                <w:rFonts w:ascii="Times New Roman" w:hAnsi="Times New Roman" w:cs="仿宋"/>
                <w:sz w:val="20"/>
                <w:szCs w:val="20"/>
              </w:rPr>
            </w:pPr>
          </w:p>
        </w:tc>
        <w:tc>
          <w:tcPr>
            <w:tcW w:w="851" w:type="dxa"/>
            <w:vAlign w:val="center"/>
          </w:tcPr>
          <w:p>
            <w:pPr>
              <w:spacing w:line="240" w:lineRule="auto"/>
              <w:jc w:val="center"/>
              <w:rPr>
                <w:rFonts w:ascii="Times New Roman" w:hAnsi="Times New Roman"/>
                <w:color w:val="000000"/>
                <w:sz w:val="20"/>
                <w:szCs w:val="20"/>
              </w:rPr>
            </w:pPr>
            <w:r>
              <w:rPr>
                <w:rFonts w:hint="eastAsia" w:ascii="Times New Roman" w:hAnsi="Times New Roman"/>
                <w:color w:val="000000"/>
                <w:sz w:val="20"/>
                <w:szCs w:val="20"/>
              </w:rPr>
              <w:t>20</w:t>
            </w:r>
          </w:p>
        </w:tc>
        <w:tc>
          <w:tcPr>
            <w:tcW w:w="807" w:type="dxa"/>
            <w:vAlign w:val="center"/>
          </w:tcPr>
          <w:p>
            <w:pPr>
              <w:spacing w:line="240" w:lineRule="auto"/>
              <w:jc w:val="center"/>
              <w:rPr>
                <w:rFonts w:ascii="Times New Roman" w:hAnsi="Times New Roman"/>
                <w:color w:val="000000"/>
                <w:sz w:val="20"/>
                <w:szCs w:val="20"/>
                <w:highlight w:val="none"/>
              </w:rPr>
            </w:pPr>
            <w:r>
              <w:rPr>
                <w:rFonts w:hint="eastAsia" w:ascii="Times New Roman" w:hAnsi="Times New Roman"/>
                <w:color w:val="000000"/>
                <w:sz w:val="20"/>
                <w:szCs w:val="20"/>
              </w:rPr>
              <w:t>20</w:t>
            </w:r>
          </w:p>
        </w:tc>
        <w:tc>
          <w:tcPr>
            <w:tcW w:w="992" w:type="dxa"/>
            <w:vAlign w:val="center"/>
          </w:tcPr>
          <w:p>
            <w:pPr>
              <w:spacing w:line="240" w:lineRule="auto"/>
              <w:jc w:val="center"/>
              <w:rPr>
                <w:rFonts w:ascii="Times New Roman" w:hAnsi="Times New Roman"/>
                <w:color w:val="000000"/>
                <w:sz w:val="20"/>
                <w:szCs w:val="20"/>
                <w:highlight w:val="none"/>
              </w:rPr>
            </w:pPr>
            <w:r>
              <w:rPr>
                <w:rFonts w:hint="eastAsia" w:ascii="Times New Roman" w:hAnsi="Times New Roman"/>
                <w:color w:val="000000"/>
                <w:sz w:val="20"/>
                <w:szCs w:val="20"/>
                <w:highlight w:val="none"/>
              </w:rPr>
              <w:t>100</w:t>
            </w:r>
          </w:p>
        </w:tc>
      </w:tr>
    </w:tbl>
    <w:p>
      <w:pPr>
        <w:widowControl w:val="0"/>
        <w:spacing w:before="100" w:beforeAutospacing="1"/>
        <w:ind w:firstLine="640" w:firstLineChars="200"/>
        <w:rPr>
          <w:rFonts w:ascii="仿宋_GB2312" w:hAnsi="仿宋" w:eastAsia="仿宋_GB2312" w:cs="仿宋"/>
          <w:sz w:val="32"/>
          <w:szCs w:val="32"/>
        </w:rPr>
      </w:pPr>
      <w:r>
        <w:rPr>
          <w:rFonts w:hint="eastAsia" w:ascii="仿宋" w:hAnsi="仿宋" w:eastAsia="仿宋" w:cs="仿宋"/>
          <w:sz w:val="32"/>
          <w:szCs w:val="32"/>
        </w:rPr>
        <w:t>（</w:t>
      </w:r>
      <w:r>
        <w:rPr>
          <w:rFonts w:hint="eastAsia" w:ascii="Times New Roman" w:hAnsi="Times New Roman" w:eastAsia="仿宋" w:cs="仿宋"/>
          <w:sz w:val="32"/>
          <w:szCs w:val="32"/>
        </w:rPr>
        <w:t>1</w:t>
      </w:r>
      <w:r>
        <w:rPr>
          <w:rFonts w:hint="eastAsia" w:ascii="仿宋" w:hAnsi="仿宋" w:eastAsia="仿宋" w:cs="仿宋"/>
          <w:sz w:val="32"/>
          <w:szCs w:val="32"/>
        </w:rPr>
        <w:t>）</w:t>
      </w:r>
      <w:r>
        <w:rPr>
          <w:rFonts w:hint="eastAsia" w:ascii="Times New Roman" w:hAnsi="Times New Roman" w:eastAsia="仿宋" w:cs="仿宋"/>
          <w:sz w:val="32"/>
          <w:szCs w:val="32"/>
        </w:rPr>
        <w:t>A11</w:t>
      </w:r>
      <w:r>
        <w:rPr>
          <w:rFonts w:hint="eastAsia" w:ascii="仿宋_GB2312" w:hAnsi="仿宋" w:eastAsia="仿宋_GB2312" w:cs="仿宋"/>
          <w:sz w:val="32"/>
          <w:szCs w:val="32"/>
        </w:rPr>
        <w:t>立项依据充分性（</w:t>
      </w:r>
      <w:r>
        <w:rPr>
          <w:rFonts w:hint="eastAsia" w:ascii="Times New Roman" w:hAnsi="Times New Roman" w:eastAsia="仿宋_GB2312" w:cs="仿宋"/>
          <w:sz w:val="32"/>
          <w:szCs w:val="32"/>
        </w:rPr>
        <w:t>6</w:t>
      </w:r>
      <w:r>
        <w:rPr>
          <w:rFonts w:hint="eastAsia" w:ascii="仿宋_GB2312" w:hAnsi="仿宋" w:eastAsia="仿宋_GB2312" w:cs="仿宋"/>
          <w:sz w:val="32"/>
          <w:szCs w:val="32"/>
        </w:rPr>
        <w:t>分）。本指标主要考察项目立项是否符合法律法规、相关政策、发展规划以及部门职责，用以反映和考核项目立项依据情况。</w:t>
      </w:r>
    </w:p>
    <w:p>
      <w:pPr>
        <w:widowControl w:val="0"/>
        <w:ind w:firstLine="640" w:firstLineChars="200"/>
        <w:rPr>
          <w:rFonts w:ascii="仿宋" w:hAnsi="仿宋" w:eastAsia="仿宋_GB2312"/>
          <w:sz w:val="32"/>
          <w:szCs w:val="32"/>
        </w:rPr>
      </w:pPr>
      <w:r>
        <w:rPr>
          <w:rFonts w:hint="eastAsia" w:ascii="仿宋_GB2312" w:hAnsi="仿宋" w:eastAsia="仿宋_GB2312" w:cs="仿宋"/>
          <w:sz w:val="32"/>
          <w:szCs w:val="32"/>
        </w:rPr>
        <w:t>通过对相关法律法规、政策文件的研读和对项目实施单位提供资料的核实，项目立项遵循</w:t>
      </w:r>
      <w:r>
        <w:rPr>
          <w:rFonts w:hint="eastAsia" w:ascii="仿宋" w:hAnsi="仿宋" w:eastAsia="仿宋_GB2312"/>
          <w:sz w:val="32"/>
          <w:szCs w:val="32"/>
        </w:rPr>
        <w:t>平陆县人民政府</w:t>
      </w:r>
      <w:r>
        <w:rPr>
          <w:rFonts w:hint="eastAsia" w:ascii="仿宋_GB2312" w:hAnsi="仿宋_GB2312" w:eastAsia="仿宋_GB2312" w:cs="仿宋_GB2312"/>
          <w:sz w:val="32"/>
          <w:szCs w:val="32"/>
        </w:rPr>
        <w:t>《关于平陆县</w:t>
      </w:r>
      <w:r>
        <w:rPr>
          <w:rFonts w:hint="eastAsia" w:ascii="Times New Roman" w:hAnsi="Times New Roman" w:eastAsia="仿宋_GB2312" w:cs="仿宋_GB2312"/>
          <w:sz w:val="32"/>
          <w:szCs w:val="32"/>
        </w:rPr>
        <w:t>2019</w:t>
      </w:r>
      <w:r>
        <w:rPr>
          <w:rFonts w:hint="eastAsia" w:ascii="仿宋_GB2312" w:hAnsi="仿宋_GB2312" w:eastAsia="仿宋_GB2312" w:cs="仿宋_GB2312"/>
          <w:sz w:val="32"/>
          <w:szCs w:val="32"/>
        </w:rPr>
        <w:t>年统筹整合使用财政资金实施精准扶贫实施方案的通知》（平政发〔</w:t>
      </w:r>
      <w:r>
        <w:rPr>
          <w:rFonts w:hint="eastAsia" w:ascii="Times New Roman" w:hAnsi="Times New Roman" w:eastAsia="仿宋_GB2312" w:cs="仿宋_GB2312"/>
          <w:sz w:val="32"/>
          <w:szCs w:val="32"/>
        </w:rPr>
        <w:t>201</w:t>
      </w:r>
      <w:r>
        <w:rPr>
          <w:rFonts w:ascii="Times New Roman" w:hAnsi="Times New Roman" w:eastAsia="仿宋_GB2312" w:cs="仿宋_GB2312"/>
          <w:sz w:val="32"/>
          <w:szCs w:val="32"/>
        </w:rPr>
        <w:t>9</w:t>
      </w:r>
      <w:r>
        <w:rPr>
          <w:rFonts w:hint="eastAsia" w:ascii="仿宋_GB2312" w:hAnsi="仿宋_GB2312" w:eastAsia="仿宋_GB2312" w:cs="仿宋_GB2312"/>
          <w:sz w:val="32"/>
          <w:szCs w:val="32"/>
        </w:rPr>
        <w:t>〕</w:t>
      </w:r>
      <w:r>
        <w:rPr>
          <w:rFonts w:ascii="Times New Roman" w:hAnsi="Times New Roman" w:eastAsia="仿宋_GB2312" w:cs="仿宋_GB2312"/>
          <w:sz w:val="32"/>
          <w:szCs w:val="32"/>
        </w:rPr>
        <w:t>7</w:t>
      </w:r>
      <w:r>
        <w:rPr>
          <w:rFonts w:hint="eastAsia" w:ascii="仿宋_GB2312" w:hAnsi="仿宋_GB2312" w:eastAsia="仿宋_GB2312" w:cs="仿宋_GB2312"/>
          <w:sz w:val="32"/>
          <w:szCs w:val="32"/>
        </w:rPr>
        <w:t>号）</w:t>
      </w:r>
      <w:r>
        <w:rPr>
          <w:rFonts w:hint="eastAsia" w:ascii="仿宋" w:hAnsi="仿宋" w:eastAsia="仿宋_GB2312"/>
          <w:sz w:val="32"/>
          <w:szCs w:val="32"/>
        </w:rPr>
        <w:t>和</w:t>
      </w:r>
      <w:r>
        <w:rPr>
          <w:rFonts w:hint="eastAsia" w:ascii="Times New Roman" w:hAnsi="Times New Roman" w:eastAsia="仿宋_GB2312" w:cs="仿宋_GB2312"/>
          <w:sz w:val="32"/>
          <w:szCs w:val="32"/>
        </w:rPr>
        <w:t>《平陆县脱贫攻坚领导小组办公室&lt;关于下达2019年第一批涉农资金整合项目计划及相关立项审批事项&gt;的通知》（平脱贫攻坚组办〔2019〕7号）</w:t>
      </w:r>
      <w:r>
        <w:rPr>
          <w:rFonts w:hint="eastAsia" w:ascii="仿宋_GB2312" w:hAnsi="仿宋" w:eastAsia="仿宋_GB2312" w:cs="Times New Roman"/>
          <w:sz w:val="32"/>
          <w:szCs w:val="32"/>
        </w:rPr>
        <w:t>等文件规定，项目实施单位结合营村道路建设实际情况，经过按程序申报和审核，确定了平陆县圣人涧镇营村村一组至二组道路建设工程项目，项目符合国家法律法规和政策要求，</w:t>
      </w:r>
      <w:r>
        <w:rPr>
          <w:rFonts w:hint="eastAsia" w:ascii="仿宋_GB2312" w:hAnsi="仿宋" w:eastAsia="仿宋_GB2312" w:cs="仿宋"/>
          <w:sz w:val="32"/>
          <w:szCs w:val="32"/>
        </w:rPr>
        <w:t>与部门职责范围相符，该项目没有与相关部门同类项目或部门内部相关项目重复。</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根据设置的指标体系中确定的评分标准和评分办法，该项指标得分</w:t>
      </w:r>
      <w:r>
        <w:rPr>
          <w:rFonts w:hint="eastAsia" w:ascii="Times New Roman" w:hAnsi="Times New Roman" w:eastAsia="仿宋_GB2312" w:cs="仿宋"/>
          <w:sz w:val="32"/>
          <w:szCs w:val="32"/>
        </w:rPr>
        <w:t>6</w:t>
      </w:r>
      <w:r>
        <w:rPr>
          <w:rFonts w:hint="eastAsia" w:ascii="仿宋_GB2312" w:hAnsi="仿宋" w:eastAsia="仿宋_GB2312" w:cs="仿宋"/>
          <w:sz w:val="32"/>
          <w:szCs w:val="32"/>
        </w:rPr>
        <w:t>分，得分率为</w:t>
      </w:r>
      <w:r>
        <w:rPr>
          <w:rFonts w:hint="eastAsia" w:ascii="Times New Roman" w:hAnsi="Times New Roman" w:eastAsia="仿宋_GB2312" w:cs="仿宋"/>
          <w:sz w:val="32"/>
          <w:szCs w:val="32"/>
        </w:rPr>
        <w:t>100</w:t>
      </w:r>
      <w:r>
        <w:rPr>
          <w:rFonts w:hint="eastAsia" w:ascii="仿宋_GB2312" w:hAnsi="仿宋" w:eastAsia="仿宋_GB2312" w:cs="仿宋"/>
          <w:sz w:val="32"/>
          <w:szCs w:val="32"/>
        </w:rPr>
        <w:t>%。</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Times New Roman" w:hAnsi="Times New Roman" w:eastAsia="仿宋_GB2312" w:cs="仿宋"/>
          <w:sz w:val="32"/>
          <w:szCs w:val="32"/>
        </w:rPr>
        <w:t>2</w:t>
      </w:r>
      <w:r>
        <w:rPr>
          <w:rFonts w:hint="eastAsia" w:ascii="仿宋_GB2312" w:hAnsi="仿宋" w:eastAsia="仿宋_GB2312" w:cs="仿宋"/>
          <w:sz w:val="32"/>
          <w:szCs w:val="32"/>
        </w:rPr>
        <w:t>）</w:t>
      </w:r>
      <w:r>
        <w:rPr>
          <w:rFonts w:hint="eastAsia" w:ascii="Times New Roman" w:hAnsi="Times New Roman" w:eastAsia="仿宋_GB2312" w:cs="仿宋"/>
          <w:sz w:val="32"/>
          <w:szCs w:val="32"/>
        </w:rPr>
        <w:t>A12</w:t>
      </w:r>
      <w:r>
        <w:rPr>
          <w:rFonts w:hint="eastAsia" w:ascii="仿宋_GB2312" w:hAnsi="仿宋" w:eastAsia="仿宋_GB2312" w:cs="仿宋"/>
          <w:sz w:val="32"/>
          <w:szCs w:val="32"/>
        </w:rPr>
        <w:t>立项程序规范性（</w:t>
      </w:r>
      <w:r>
        <w:rPr>
          <w:rFonts w:hint="eastAsia" w:ascii="Times New Roman" w:hAnsi="Times New Roman" w:eastAsia="仿宋_GB2312" w:cs="仿宋"/>
          <w:sz w:val="32"/>
          <w:szCs w:val="32"/>
        </w:rPr>
        <w:t>4</w:t>
      </w:r>
      <w:r>
        <w:rPr>
          <w:rFonts w:hint="eastAsia" w:ascii="仿宋_GB2312" w:hAnsi="仿宋" w:eastAsia="仿宋_GB2312" w:cs="仿宋"/>
          <w:sz w:val="32"/>
          <w:szCs w:val="32"/>
        </w:rPr>
        <w:t>分）。本指标主要考察项目申请、设立过程是否符合相关要求，用以反映和考核项目的规范情况。</w:t>
      </w:r>
    </w:p>
    <w:p>
      <w:pPr>
        <w:widowControl w:val="0"/>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评价组通过对项目实施单位提供的资料进行整理和分析，结合现场核实情况，了解到</w:t>
      </w:r>
      <w:r>
        <w:rPr>
          <w:rFonts w:hint="eastAsia" w:ascii="仿宋_GB2312" w:hAnsi="仿宋" w:eastAsia="仿宋_GB2312" w:cs="Times New Roman"/>
          <w:sz w:val="32"/>
          <w:szCs w:val="32"/>
        </w:rPr>
        <w:t>平陆县圣人涧镇营村村一组至二组道路建设工程项目</w:t>
      </w:r>
      <w:r>
        <w:rPr>
          <w:rFonts w:hint="eastAsia" w:ascii="仿宋_GB2312" w:hAnsi="仿宋" w:eastAsia="仿宋_GB2312" w:cs="仿宋"/>
          <w:sz w:val="32"/>
          <w:szCs w:val="32"/>
        </w:rPr>
        <w:t>由</w:t>
      </w:r>
      <w:r>
        <w:rPr>
          <w:rFonts w:hint="eastAsia" w:ascii="仿宋_GB2312" w:hAnsi="仿宋_GB2312" w:eastAsia="仿宋_GB2312" w:cs="仿宋_GB2312"/>
          <w:sz w:val="32"/>
          <w:szCs w:val="32"/>
        </w:rPr>
        <w:t>平陆县圣人涧镇人民政府委托三门峡市海地公路勘察设计有限公司进行深入调研，现场勘察和科学论证，编制了《平陆县</w:t>
      </w:r>
      <w:r>
        <w:rPr>
          <w:rFonts w:hint="eastAsia" w:ascii="仿宋_GB2312" w:hAnsi="仿宋" w:eastAsia="仿宋_GB2312" w:cs="Times New Roman"/>
          <w:sz w:val="32"/>
          <w:szCs w:val="32"/>
        </w:rPr>
        <w:t>圣人涧镇营村村一组至二组道路建设工程设计报告</w:t>
      </w:r>
      <w:r>
        <w:rPr>
          <w:rFonts w:hint="eastAsia" w:ascii="仿宋_GB2312" w:hAnsi="仿宋_GB2312" w:eastAsia="仿宋_GB2312" w:cs="仿宋_GB2312"/>
          <w:sz w:val="32"/>
          <w:szCs w:val="32"/>
        </w:rPr>
        <w:t>》。</w:t>
      </w:r>
      <w:r>
        <w:rPr>
          <w:rFonts w:hint="eastAsia" w:ascii="仿宋_GB2312" w:hAnsi="仿宋" w:eastAsia="仿宋_GB2312" w:cs="Times New Roman"/>
          <w:sz w:val="32"/>
          <w:szCs w:val="32"/>
        </w:rPr>
        <w:t>项目</w:t>
      </w:r>
      <w:r>
        <w:rPr>
          <w:rFonts w:hint="eastAsia" w:ascii="仿宋_GB2312" w:hAnsi="仿宋" w:eastAsia="仿宋_GB2312" w:cs="仿宋"/>
          <w:sz w:val="32"/>
          <w:szCs w:val="32"/>
        </w:rPr>
        <w:t>申报、审核、批复</w:t>
      </w:r>
      <w:r>
        <w:rPr>
          <w:rFonts w:hint="eastAsia" w:ascii="仿宋_GB2312" w:hAnsi="仿宋" w:eastAsia="仿宋_GB2312" w:cs="Times New Roman"/>
          <w:sz w:val="32"/>
          <w:szCs w:val="32"/>
        </w:rPr>
        <w:t>符合</w:t>
      </w:r>
      <w:r>
        <w:rPr>
          <w:rFonts w:hint="eastAsia" w:ascii="仿宋_GB2312" w:hAnsi="仿宋" w:eastAsia="仿宋_GB2312" w:cs="仿宋"/>
          <w:sz w:val="32"/>
          <w:szCs w:val="32"/>
        </w:rPr>
        <w:t>有关政策和文件规定；项目资料齐全、准确、符合相关要求。</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_GB2312"/>
          <w:sz w:val="32"/>
          <w:szCs w:val="32"/>
        </w:rPr>
        <w:t>根据</w:t>
      </w:r>
      <w:r>
        <w:rPr>
          <w:rFonts w:hint="eastAsia" w:ascii="仿宋_GB2312" w:hAnsi="仿宋" w:eastAsia="仿宋_GB2312" w:cs="仿宋"/>
          <w:sz w:val="32"/>
          <w:szCs w:val="32"/>
        </w:rPr>
        <w:t>设置的指标体系中确定的评分标准和评分办法</w:t>
      </w:r>
      <w:r>
        <w:rPr>
          <w:rFonts w:hint="eastAsia" w:ascii="仿宋_GB2312" w:hAnsi="仿宋" w:eastAsia="仿宋_GB2312" w:cs="仿宋_GB2312"/>
          <w:sz w:val="32"/>
          <w:szCs w:val="32"/>
        </w:rPr>
        <w:t>，该项指标不扣分，得</w:t>
      </w:r>
      <w:r>
        <w:rPr>
          <w:rFonts w:hint="eastAsia" w:ascii="Times New Roman" w:hAnsi="Times New Roman" w:eastAsia="仿宋_GB2312" w:cs="仿宋_GB2312"/>
          <w:sz w:val="32"/>
          <w:szCs w:val="32"/>
        </w:rPr>
        <w:t>4</w:t>
      </w:r>
      <w:r>
        <w:rPr>
          <w:rFonts w:hint="eastAsia" w:ascii="仿宋_GB2312" w:hAnsi="仿宋" w:eastAsia="仿宋_GB2312" w:cs="仿宋_GB2312"/>
          <w:sz w:val="32"/>
          <w:szCs w:val="32"/>
        </w:rPr>
        <w:t>分，得分率为</w:t>
      </w:r>
      <w:r>
        <w:rPr>
          <w:rFonts w:hint="eastAsia" w:ascii="Times New Roman" w:hAnsi="Times New Roman" w:eastAsia="仿宋_GB2312" w:cs="仿宋_GB2312"/>
          <w:sz w:val="32"/>
          <w:szCs w:val="32"/>
        </w:rPr>
        <w:t>100</w:t>
      </w:r>
      <w:r>
        <w:rPr>
          <w:rFonts w:hint="eastAsia" w:ascii="仿宋_GB2312" w:hAnsi="仿宋" w:eastAsia="仿宋_GB2312" w:cs="仿宋_GB2312"/>
          <w:sz w:val="32"/>
          <w:szCs w:val="32"/>
        </w:rPr>
        <w:t>%。</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Times New Roman" w:hAnsi="Times New Roman" w:eastAsia="仿宋_GB2312" w:cs="仿宋"/>
          <w:sz w:val="32"/>
          <w:szCs w:val="32"/>
        </w:rPr>
        <w:t>3</w:t>
      </w:r>
      <w:r>
        <w:rPr>
          <w:rFonts w:hint="eastAsia" w:ascii="仿宋_GB2312" w:hAnsi="仿宋" w:eastAsia="仿宋_GB2312" w:cs="仿宋"/>
          <w:sz w:val="32"/>
          <w:szCs w:val="32"/>
        </w:rPr>
        <w:t>）</w:t>
      </w:r>
      <w:r>
        <w:rPr>
          <w:rFonts w:hint="eastAsia" w:ascii="Times New Roman" w:hAnsi="Times New Roman" w:eastAsia="仿宋_GB2312" w:cs="仿宋"/>
          <w:sz w:val="32"/>
          <w:szCs w:val="32"/>
        </w:rPr>
        <w:t>A21</w:t>
      </w:r>
      <w:r>
        <w:rPr>
          <w:rFonts w:hint="eastAsia" w:ascii="仿宋_GB2312" w:hAnsi="仿宋" w:eastAsia="仿宋_GB2312" w:cs="仿宋"/>
          <w:sz w:val="32"/>
          <w:szCs w:val="32"/>
        </w:rPr>
        <w:t>绩效目标合理性（</w:t>
      </w:r>
      <w:r>
        <w:rPr>
          <w:rFonts w:hint="eastAsia" w:ascii="Times New Roman" w:hAnsi="Times New Roman" w:eastAsia="仿宋_GB2312" w:cs="仿宋"/>
          <w:sz w:val="32"/>
          <w:szCs w:val="32"/>
        </w:rPr>
        <w:t>2</w:t>
      </w:r>
      <w:r>
        <w:rPr>
          <w:rFonts w:hint="eastAsia" w:ascii="仿宋_GB2312" w:hAnsi="仿宋" w:eastAsia="仿宋_GB2312" w:cs="仿宋"/>
          <w:sz w:val="32"/>
          <w:szCs w:val="32"/>
        </w:rPr>
        <w:t>分）。本指标主要考察项目所设定的绩效目标是否依据充分，是否符合客观实际，用以反映和考核项目绩效目标与项目实施的相符情况。</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通过了解项目实施的具体情况和目标任务，结合对项目绩效目标的梳理，平陆县圣人涧镇营村村一组至二组道路建设工程项目实施单位进行了绩效目标的申报，且绩效目标与工作内容具有相关性；与预算确定的项目投资额基本匹配。</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根据设置的指标体系中确定的评分标准和评分办法，</w:t>
      </w:r>
      <w:r>
        <w:rPr>
          <w:rFonts w:hint="eastAsia" w:ascii="仿宋_GB2312" w:hAnsi="仿宋" w:eastAsia="仿宋_GB2312" w:cs="仿宋_GB2312"/>
          <w:sz w:val="32"/>
          <w:szCs w:val="32"/>
        </w:rPr>
        <w:t>该项指标不扣分，得</w:t>
      </w:r>
      <w:r>
        <w:rPr>
          <w:rFonts w:hint="eastAsia" w:ascii="Times New Roman" w:hAnsi="Times New Roman" w:eastAsia="仿宋_GB2312" w:cs="仿宋_GB2312"/>
          <w:sz w:val="32"/>
          <w:szCs w:val="32"/>
        </w:rPr>
        <w:t>2</w:t>
      </w:r>
      <w:r>
        <w:rPr>
          <w:rFonts w:hint="eastAsia" w:ascii="仿宋_GB2312" w:hAnsi="仿宋" w:eastAsia="仿宋_GB2312" w:cs="仿宋_GB2312"/>
          <w:sz w:val="32"/>
          <w:szCs w:val="32"/>
        </w:rPr>
        <w:t>分，得分率为</w:t>
      </w:r>
      <w:r>
        <w:rPr>
          <w:rFonts w:hint="eastAsia" w:ascii="Times New Roman" w:hAnsi="Times New Roman" w:eastAsia="仿宋_GB2312" w:cs="仿宋_GB2312"/>
          <w:sz w:val="32"/>
          <w:szCs w:val="32"/>
        </w:rPr>
        <w:t>100</w:t>
      </w:r>
      <w:r>
        <w:rPr>
          <w:rFonts w:hint="eastAsia" w:ascii="仿宋_GB2312" w:hAnsi="仿宋" w:eastAsia="仿宋_GB2312" w:cs="仿宋_GB2312"/>
          <w:sz w:val="32"/>
          <w:szCs w:val="32"/>
        </w:rPr>
        <w:t>%。</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Times New Roman" w:hAnsi="Times New Roman" w:eastAsia="仿宋_GB2312" w:cs="仿宋"/>
          <w:sz w:val="32"/>
          <w:szCs w:val="32"/>
        </w:rPr>
        <w:t>4</w:t>
      </w:r>
      <w:r>
        <w:rPr>
          <w:rFonts w:hint="eastAsia" w:ascii="仿宋_GB2312" w:hAnsi="仿宋" w:eastAsia="仿宋_GB2312" w:cs="仿宋"/>
          <w:sz w:val="32"/>
          <w:szCs w:val="32"/>
        </w:rPr>
        <w:t>）</w:t>
      </w:r>
      <w:r>
        <w:rPr>
          <w:rFonts w:hint="eastAsia" w:ascii="Times New Roman" w:hAnsi="Times New Roman" w:eastAsia="仿宋_GB2312" w:cs="仿宋"/>
          <w:sz w:val="32"/>
          <w:szCs w:val="32"/>
        </w:rPr>
        <w:t>A22</w:t>
      </w:r>
      <w:r>
        <w:rPr>
          <w:rFonts w:hint="eastAsia" w:ascii="仿宋_GB2312" w:hAnsi="仿宋" w:eastAsia="仿宋_GB2312" w:cs="仿宋"/>
          <w:sz w:val="32"/>
          <w:szCs w:val="32"/>
        </w:rPr>
        <w:t>绩效指标明确性（</w:t>
      </w:r>
      <w:r>
        <w:rPr>
          <w:rFonts w:hint="eastAsia" w:ascii="Times New Roman" w:hAnsi="Times New Roman" w:eastAsia="仿宋_GB2312" w:cs="仿宋"/>
          <w:sz w:val="32"/>
          <w:szCs w:val="32"/>
        </w:rPr>
        <w:t>2</w:t>
      </w:r>
      <w:r>
        <w:rPr>
          <w:rFonts w:hint="eastAsia" w:ascii="仿宋_GB2312" w:hAnsi="仿宋" w:eastAsia="仿宋_GB2312" w:cs="仿宋"/>
          <w:sz w:val="32"/>
          <w:szCs w:val="32"/>
        </w:rPr>
        <w:t>分）。本指标主要考察依据绩效目标设定的绩效指标是否清晰、细化、可衡量等，用以反映和考核项目绩效目标的明细化情况。</w:t>
      </w:r>
    </w:p>
    <w:p>
      <w:pPr>
        <w:widowControl w:val="0"/>
        <w:ind w:firstLine="640" w:firstLineChars="200"/>
        <w:rPr>
          <w:rFonts w:ascii="仿宋_GB2312" w:hAnsi="仿宋" w:eastAsia="仿宋_GB2312" w:cs="仿宋"/>
          <w:sz w:val="32"/>
          <w:szCs w:val="32"/>
        </w:rPr>
      </w:pPr>
      <w:r>
        <w:rPr>
          <w:rFonts w:hint="eastAsia" w:ascii="仿宋_GB2312" w:hAnsi="仿宋_GB2312" w:eastAsia="仿宋_GB2312" w:cs="仿宋_GB2312"/>
          <w:sz w:val="32"/>
          <w:szCs w:val="32"/>
        </w:rPr>
        <w:t>通过对项目实施单位绩效目标的梳理，结合对项目实施单位所提供资料的核实，项目实施单位对绩效目标进行了申报，项目绩效目标细化分解为具体的绩效指标；通过清晰、可衡量的指标值予以体现；与项目目标计划数相对应。</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根据设置的指标体系中确定的评分标准和评分办法，该项指标不</w:t>
      </w:r>
      <w:r>
        <w:rPr>
          <w:rFonts w:hint="eastAsia" w:ascii="仿宋_GB2312" w:hAnsi="仿宋" w:eastAsia="仿宋_GB2312" w:cs="仿宋_GB2312"/>
          <w:sz w:val="32"/>
          <w:szCs w:val="32"/>
        </w:rPr>
        <w:t>扣分，得</w:t>
      </w:r>
      <w:r>
        <w:rPr>
          <w:rFonts w:hint="eastAsia" w:ascii="Times New Roman" w:hAnsi="Times New Roman" w:eastAsia="仿宋_GB2312" w:cs="仿宋_GB2312"/>
          <w:sz w:val="32"/>
          <w:szCs w:val="32"/>
        </w:rPr>
        <w:t>2</w:t>
      </w:r>
      <w:r>
        <w:rPr>
          <w:rFonts w:hint="eastAsia" w:ascii="仿宋_GB2312" w:hAnsi="仿宋" w:eastAsia="仿宋_GB2312" w:cs="仿宋_GB2312"/>
          <w:sz w:val="32"/>
          <w:szCs w:val="32"/>
        </w:rPr>
        <w:t>分，得分率为</w:t>
      </w:r>
      <w:r>
        <w:rPr>
          <w:rFonts w:hint="eastAsia" w:ascii="Times New Roman" w:hAnsi="Times New Roman" w:eastAsia="仿宋_GB2312" w:cs="仿宋_GB2312"/>
          <w:sz w:val="32"/>
          <w:szCs w:val="32"/>
        </w:rPr>
        <w:t>100</w:t>
      </w:r>
      <w:r>
        <w:rPr>
          <w:rFonts w:hint="eastAsia" w:ascii="仿宋_GB2312" w:hAnsi="仿宋" w:eastAsia="仿宋_GB2312" w:cs="仿宋_GB2312"/>
          <w:sz w:val="32"/>
          <w:szCs w:val="32"/>
        </w:rPr>
        <w:t>%。</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highlight w:val="none"/>
        </w:rPr>
        <w:t>（</w:t>
      </w:r>
      <w:r>
        <w:rPr>
          <w:rFonts w:hint="eastAsia" w:ascii="Times New Roman" w:hAnsi="Times New Roman" w:eastAsia="仿宋_GB2312" w:cs="仿宋"/>
          <w:sz w:val="32"/>
          <w:szCs w:val="32"/>
          <w:highlight w:val="none"/>
        </w:rPr>
        <w:t>5</w:t>
      </w:r>
      <w:r>
        <w:rPr>
          <w:rFonts w:hint="eastAsia" w:ascii="仿宋_GB2312" w:hAnsi="仿宋" w:eastAsia="仿宋_GB2312" w:cs="仿宋"/>
          <w:sz w:val="32"/>
          <w:szCs w:val="32"/>
          <w:highlight w:val="none"/>
        </w:rPr>
        <w:t>）</w:t>
      </w:r>
      <w:r>
        <w:rPr>
          <w:rFonts w:hint="eastAsia" w:ascii="Times New Roman" w:hAnsi="Times New Roman" w:eastAsia="仿宋_GB2312" w:cs="仿宋"/>
          <w:sz w:val="32"/>
          <w:szCs w:val="32"/>
          <w:highlight w:val="none"/>
        </w:rPr>
        <w:t>A31</w:t>
      </w:r>
      <w:r>
        <w:rPr>
          <w:rFonts w:hint="eastAsia" w:ascii="仿宋_GB2312" w:hAnsi="仿宋" w:eastAsia="仿宋_GB2312" w:cs="仿宋"/>
          <w:sz w:val="32"/>
          <w:szCs w:val="32"/>
          <w:highlight w:val="none"/>
        </w:rPr>
        <w:t>预算编制科学性（</w:t>
      </w:r>
      <w:r>
        <w:rPr>
          <w:rFonts w:hint="eastAsia" w:ascii="Times New Roman" w:hAnsi="Times New Roman" w:eastAsia="仿宋_GB2312" w:cs="仿宋"/>
          <w:sz w:val="32"/>
          <w:szCs w:val="32"/>
          <w:highlight w:val="none"/>
        </w:rPr>
        <w:t>3</w:t>
      </w:r>
      <w:r>
        <w:rPr>
          <w:rFonts w:hint="eastAsia" w:ascii="仿宋_GB2312" w:hAnsi="仿宋" w:eastAsia="仿宋_GB2312" w:cs="仿宋"/>
          <w:sz w:val="32"/>
          <w:szCs w:val="32"/>
          <w:highlight w:val="none"/>
        </w:rPr>
        <w:t>分）。本指标主要考察项目预算编制是否经过科学论证、有明确的标准，资金额度与年度目标是否相适应，用以反映和考核项目预算编制的科学性、合理性情况。</w:t>
      </w:r>
    </w:p>
    <w:p>
      <w:pPr>
        <w:widowControl w:val="0"/>
        <w:autoSpaceDE w:val="0"/>
        <w:autoSpaceDN w:val="0"/>
        <w:adjustRightInd w:val="0"/>
        <w:ind w:firstLine="640" w:firstLineChars="200"/>
        <w:jc w:val="left"/>
        <w:rPr>
          <w:rFonts w:ascii="仿宋_GB2312" w:eastAsia="仿宋_GB2312" w:cs="仿宋_GB2312" w:hAnsiTheme="minorHAnsi"/>
          <w:sz w:val="32"/>
          <w:szCs w:val="32"/>
          <w:highlight w:val="yellow"/>
        </w:rPr>
      </w:pPr>
      <w:r>
        <w:rPr>
          <w:rFonts w:hint="eastAsia" w:ascii="仿宋_GB2312" w:hAnsi="仿宋" w:eastAsia="仿宋_GB2312" w:cs="仿宋"/>
          <w:sz w:val="32"/>
          <w:szCs w:val="32"/>
        </w:rPr>
        <w:t>项目组通过查阅项目实施单位提供的</w:t>
      </w:r>
      <w:r>
        <w:rPr>
          <w:rFonts w:hint="eastAsia" w:ascii="仿宋_GB2312" w:hAnsi="仿宋" w:eastAsia="仿宋_GB2312" w:cs="仿宋"/>
          <w:sz w:val="32"/>
          <w:szCs w:val="32"/>
          <w:lang w:val="en-US" w:eastAsia="zh-CN"/>
        </w:rPr>
        <w:t>项目相关资料进行研读和现场核查，平陆县营村一组至二组道路建设工程项目预算内容与项目内容匹配；</w:t>
      </w:r>
      <w:r>
        <w:rPr>
          <w:rFonts w:hint="eastAsia" w:ascii="仿宋_GB2312" w:hAnsi="仿宋" w:eastAsia="仿宋_GB2312" w:cs="仿宋"/>
          <w:sz w:val="32"/>
          <w:szCs w:val="32"/>
        </w:rPr>
        <w:t>预算额度根据实施单位的具体实施工程进行测算，测算依据较充分。</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根据设置的指标体系中确定的评分标准和评分办法，</w:t>
      </w:r>
      <w:r>
        <w:rPr>
          <w:rFonts w:hint="eastAsia" w:ascii="仿宋_GB2312" w:hAnsi="仿宋" w:eastAsia="仿宋_GB2312" w:cs="仿宋_GB2312"/>
          <w:sz w:val="32"/>
          <w:szCs w:val="32"/>
        </w:rPr>
        <w:t>该项指标不扣分，得</w:t>
      </w:r>
      <w:r>
        <w:rPr>
          <w:rFonts w:hint="eastAsia" w:ascii="Times New Roman" w:hAnsi="Times New Roman" w:eastAsia="仿宋_GB2312" w:cs="Times New Roman"/>
          <w:sz w:val="32"/>
          <w:szCs w:val="32"/>
        </w:rPr>
        <w:t>3</w:t>
      </w:r>
      <w:r>
        <w:rPr>
          <w:rFonts w:hint="eastAsia" w:ascii="仿宋_GB2312" w:hAnsi="仿宋" w:eastAsia="仿宋_GB2312" w:cs="仿宋_GB2312"/>
          <w:sz w:val="32"/>
          <w:szCs w:val="32"/>
        </w:rPr>
        <w:t>分，得分率为</w:t>
      </w:r>
      <w:r>
        <w:rPr>
          <w:rFonts w:hint="eastAsia" w:ascii="Times New Roman" w:hAnsi="Times New Roman" w:eastAsia="仿宋_GB2312" w:cs="仿宋_GB2312"/>
          <w:sz w:val="32"/>
          <w:szCs w:val="32"/>
        </w:rPr>
        <w:t>100</w:t>
      </w:r>
      <w:r>
        <w:rPr>
          <w:rFonts w:hint="eastAsia" w:ascii="仿宋_GB2312" w:hAnsi="仿宋" w:eastAsia="仿宋_GB2312" w:cs="仿宋_GB2312"/>
          <w:sz w:val="32"/>
          <w:szCs w:val="32"/>
        </w:rPr>
        <w:t>%。</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Times New Roman" w:hAnsi="Times New Roman" w:eastAsia="仿宋_GB2312" w:cs="仿宋"/>
          <w:sz w:val="32"/>
          <w:szCs w:val="32"/>
        </w:rPr>
        <w:t>6</w:t>
      </w:r>
      <w:r>
        <w:rPr>
          <w:rFonts w:hint="eastAsia" w:ascii="仿宋_GB2312" w:hAnsi="仿宋" w:eastAsia="仿宋_GB2312" w:cs="仿宋"/>
          <w:sz w:val="32"/>
          <w:szCs w:val="32"/>
        </w:rPr>
        <w:t>）</w:t>
      </w:r>
      <w:r>
        <w:rPr>
          <w:rFonts w:hint="eastAsia" w:ascii="Times New Roman" w:hAnsi="Times New Roman" w:eastAsia="仿宋_GB2312" w:cs="仿宋"/>
          <w:sz w:val="32"/>
          <w:szCs w:val="32"/>
        </w:rPr>
        <w:t>A32</w:t>
      </w:r>
      <w:r>
        <w:rPr>
          <w:rFonts w:hint="eastAsia" w:ascii="仿宋_GB2312" w:hAnsi="仿宋" w:eastAsia="仿宋_GB2312" w:cs="仿宋"/>
          <w:sz w:val="32"/>
          <w:szCs w:val="32"/>
        </w:rPr>
        <w:t>资金分配合理性（</w:t>
      </w:r>
      <w:r>
        <w:rPr>
          <w:rFonts w:hint="eastAsia" w:ascii="Times New Roman" w:hAnsi="Times New Roman" w:eastAsia="仿宋_GB2312" w:cs="仿宋"/>
          <w:sz w:val="32"/>
          <w:szCs w:val="32"/>
        </w:rPr>
        <w:t>3</w:t>
      </w:r>
      <w:r>
        <w:rPr>
          <w:rFonts w:hint="eastAsia" w:ascii="仿宋_GB2312" w:hAnsi="仿宋" w:eastAsia="仿宋_GB2312" w:cs="仿宋"/>
          <w:sz w:val="32"/>
          <w:szCs w:val="32"/>
        </w:rPr>
        <w:t>分）。本指标主要考察项目预算资金分配是否有测算依据，与地方实际是否相适应，用以反映和考核项目预算资金分配的科学性、合理性情况。</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通过对项目实施单位提供的项目相关资料进行研读和现场核查，</w:t>
      </w:r>
      <w:r>
        <w:rPr>
          <w:rFonts w:hint="eastAsia" w:ascii="仿宋_GB2312" w:hAnsi="仿宋" w:eastAsia="仿宋_GB2312" w:cs="仿宋"/>
          <w:sz w:val="32"/>
          <w:szCs w:val="32"/>
          <w:lang w:val="en-US" w:eastAsia="zh-CN"/>
        </w:rPr>
        <w:t>2019年平陆县营村村一组至二组道路建设工程项目预算资金分配依据充分；</w:t>
      </w:r>
      <w:r>
        <w:rPr>
          <w:rFonts w:hint="eastAsia" w:ascii="仿宋_GB2312" w:hAnsi="仿宋" w:eastAsia="仿宋_GB2312" w:cs="仿宋"/>
          <w:sz w:val="32"/>
          <w:szCs w:val="32"/>
        </w:rPr>
        <w:t>资金分配额度合理，与项目实际相适应。</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根据设置的指标体系中确定的评分标准和评分办法，该项指标</w:t>
      </w:r>
      <w:r>
        <w:rPr>
          <w:rFonts w:hint="eastAsia" w:ascii="仿宋_GB2312" w:hAnsi="仿宋" w:eastAsia="仿宋_GB2312" w:cs="仿宋_GB2312"/>
          <w:sz w:val="32"/>
          <w:szCs w:val="32"/>
        </w:rPr>
        <w:t>不扣分，得</w:t>
      </w:r>
      <w:r>
        <w:rPr>
          <w:rFonts w:hint="eastAsia" w:ascii="Times New Roman" w:hAnsi="Times New Roman" w:eastAsia="仿宋_GB2312" w:cs="仿宋_GB2312"/>
          <w:sz w:val="32"/>
          <w:szCs w:val="32"/>
        </w:rPr>
        <w:t>3</w:t>
      </w:r>
      <w:r>
        <w:rPr>
          <w:rFonts w:hint="eastAsia" w:ascii="仿宋_GB2312" w:hAnsi="仿宋" w:eastAsia="仿宋_GB2312" w:cs="仿宋_GB2312"/>
          <w:sz w:val="32"/>
          <w:szCs w:val="32"/>
        </w:rPr>
        <w:t>分，得分率为</w:t>
      </w:r>
      <w:r>
        <w:rPr>
          <w:rFonts w:hint="eastAsia" w:ascii="Times New Roman" w:hAnsi="Times New Roman" w:eastAsia="仿宋_GB2312" w:cs="仿宋_GB2312"/>
          <w:sz w:val="32"/>
          <w:szCs w:val="32"/>
        </w:rPr>
        <w:t>100</w:t>
      </w:r>
      <w:r>
        <w:rPr>
          <w:rFonts w:hint="eastAsia" w:ascii="仿宋_GB2312" w:hAnsi="仿宋" w:eastAsia="仿宋_GB2312" w:cs="仿宋_GB2312"/>
          <w:sz w:val="32"/>
          <w:szCs w:val="32"/>
        </w:rPr>
        <w:t>%。</w:t>
      </w:r>
    </w:p>
    <w:p>
      <w:pPr>
        <w:widowControl w:val="0"/>
        <w:ind w:firstLine="640" w:firstLineChars="200"/>
        <w:outlineLvl w:val="1"/>
        <w:rPr>
          <w:rFonts w:ascii="楷体" w:hAnsi="楷体" w:eastAsia="楷体" w:cs="Times New Roman"/>
          <w:bCs/>
          <w:sz w:val="32"/>
          <w:szCs w:val="32"/>
        </w:rPr>
      </w:pPr>
      <w:bookmarkStart w:id="56" w:name="_Toc17682"/>
      <w:r>
        <w:rPr>
          <w:rFonts w:hint="eastAsia" w:ascii="楷体" w:hAnsi="楷体" w:eastAsia="楷体" w:cs="Times New Roman"/>
          <w:bCs/>
          <w:sz w:val="32"/>
          <w:szCs w:val="32"/>
        </w:rPr>
        <w:t>（二）过程类指标分析</w:t>
      </w:r>
      <w:bookmarkEnd w:id="56"/>
    </w:p>
    <w:p>
      <w:pPr>
        <w:widowControl w:val="0"/>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过程类指标主要从资金管理、组织实施两个方面对项目过程情况进行评价，共设置</w:t>
      </w:r>
      <w:r>
        <w:rPr>
          <w:rFonts w:hint="eastAsia" w:ascii="Times New Roman" w:hAnsi="Times New Roman" w:eastAsia="仿宋_GB2312" w:cs="Times New Roman"/>
          <w:sz w:val="32"/>
          <w:szCs w:val="32"/>
        </w:rPr>
        <w:t>6</w:t>
      </w:r>
      <w:r>
        <w:rPr>
          <w:rFonts w:hint="eastAsia" w:ascii="仿宋_GB2312" w:hAnsi="仿宋" w:eastAsia="仿宋_GB2312" w:cs="Times New Roman"/>
          <w:sz w:val="32"/>
          <w:szCs w:val="32"/>
        </w:rPr>
        <w:t>个三级指标。过程类指标权重分</w:t>
      </w:r>
      <w:r>
        <w:rPr>
          <w:rFonts w:hint="eastAsia" w:ascii="Times New Roman" w:hAnsi="Times New Roman" w:eastAsia="仿宋_GB2312" w:cs="Times New Roman"/>
          <w:sz w:val="32"/>
          <w:szCs w:val="32"/>
        </w:rPr>
        <w:t>20</w:t>
      </w:r>
      <w:r>
        <w:rPr>
          <w:rFonts w:hint="eastAsia" w:ascii="仿宋_GB2312" w:hAnsi="仿宋" w:eastAsia="仿宋_GB2312" w:cs="Times New Roman"/>
          <w:sz w:val="32"/>
          <w:szCs w:val="32"/>
        </w:rPr>
        <w:t>分，</w:t>
      </w:r>
      <w:r>
        <w:rPr>
          <w:rFonts w:hint="eastAsia" w:ascii="仿宋_GB2312" w:hAnsi="仿宋" w:eastAsia="仿宋_GB2312" w:cs="Times New Roman"/>
          <w:sz w:val="32"/>
          <w:szCs w:val="32"/>
          <w:highlight w:val="none"/>
        </w:rPr>
        <w:t>评价得分</w:t>
      </w:r>
      <w:r>
        <w:rPr>
          <w:rFonts w:hint="eastAsia" w:ascii="Times New Roman" w:hAnsi="Times New Roman" w:eastAsia="仿宋_GB2312" w:cs="Times New Roman"/>
          <w:sz w:val="32"/>
          <w:szCs w:val="32"/>
          <w:highlight w:val="none"/>
        </w:rPr>
        <w:t>1</w:t>
      </w:r>
      <w:r>
        <w:rPr>
          <w:rFonts w:hint="eastAsia" w:ascii="Times New Roman" w:hAnsi="Times New Roman" w:eastAsia="仿宋_GB2312" w:cs="Times New Roman"/>
          <w:sz w:val="32"/>
          <w:szCs w:val="32"/>
          <w:highlight w:val="none"/>
          <w:lang w:val="en-US" w:eastAsia="zh-CN"/>
        </w:rPr>
        <w:t>6.66</w:t>
      </w:r>
      <w:r>
        <w:rPr>
          <w:rFonts w:hint="eastAsia" w:ascii="仿宋_GB2312" w:hAnsi="仿宋" w:eastAsia="仿宋_GB2312" w:cs="Times New Roman"/>
          <w:sz w:val="32"/>
          <w:szCs w:val="32"/>
          <w:highlight w:val="none"/>
        </w:rPr>
        <w:t>分，得分率为</w:t>
      </w:r>
      <w:r>
        <w:rPr>
          <w:rFonts w:hint="eastAsia" w:ascii="Times New Roman" w:hAnsi="Times New Roman" w:eastAsia="仿宋_GB2312" w:cs="Times New Roman"/>
          <w:sz w:val="32"/>
          <w:szCs w:val="32"/>
          <w:highlight w:val="none"/>
        </w:rPr>
        <w:t>8</w:t>
      </w:r>
      <w:r>
        <w:rPr>
          <w:rFonts w:hint="eastAsia" w:ascii="Times New Roman" w:hAnsi="Times New Roman" w:eastAsia="仿宋_GB2312" w:cs="Times New Roman"/>
          <w:sz w:val="32"/>
          <w:szCs w:val="32"/>
          <w:highlight w:val="none"/>
          <w:lang w:val="en-US" w:eastAsia="zh-CN"/>
        </w:rPr>
        <w:t>3.3</w:t>
      </w:r>
      <w:r>
        <w:rPr>
          <w:rFonts w:hint="eastAsia" w:ascii="仿宋_GB2312" w:hAnsi="仿宋" w:eastAsia="仿宋_GB2312" w:cs="Times New Roman"/>
          <w:sz w:val="32"/>
          <w:szCs w:val="32"/>
          <w:highlight w:val="none"/>
        </w:rPr>
        <w:t>%</w:t>
      </w:r>
      <w:r>
        <w:rPr>
          <w:rFonts w:hint="eastAsia" w:ascii="仿宋_GB2312" w:hAnsi="仿宋" w:eastAsia="仿宋_GB2312" w:cs="Times New Roman"/>
          <w:sz w:val="32"/>
          <w:szCs w:val="32"/>
        </w:rPr>
        <w:t>。过程类评价指标及评价得分情况见下表</w:t>
      </w:r>
      <w:r>
        <w:rPr>
          <w:rFonts w:hint="eastAsia" w:ascii="Times New Roman" w:hAnsi="Times New Roman" w:eastAsia="仿宋_GB2312" w:cs="Times New Roman"/>
          <w:sz w:val="32"/>
          <w:szCs w:val="32"/>
        </w:rPr>
        <w:t>3</w:t>
      </w:r>
      <w:r>
        <w:rPr>
          <w:rFonts w:hint="eastAsia" w:ascii="仿宋_GB2312" w:hAnsi="仿宋" w:eastAsia="仿宋_GB2312" w:cs="Times New Roman"/>
          <w:sz w:val="32"/>
          <w:szCs w:val="32"/>
        </w:rPr>
        <w:t>-</w:t>
      </w:r>
      <w:r>
        <w:rPr>
          <w:rFonts w:hint="eastAsia" w:ascii="Times New Roman" w:hAnsi="Times New Roman" w:eastAsia="仿宋_GB2312" w:cs="Times New Roman"/>
          <w:sz w:val="32"/>
          <w:szCs w:val="32"/>
        </w:rPr>
        <w:t>2</w:t>
      </w:r>
      <w:r>
        <w:rPr>
          <w:rFonts w:hint="eastAsia" w:ascii="仿宋_GB2312" w:hAnsi="仿宋" w:eastAsia="仿宋_GB2312" w:cs="Times New Roman"/>
          <w:sz w:val="32"/>
          <w:szCs w:val="32"/>
        </w:rPr>
        <w:t>。</w:t>
      </w:r>
    </w:p>
    <w:p>
      <w:pPr>
        <w:widowControl w:val="0"/>
        <w:overflowPunct w:val="0"/>
        <w:spacing w:line="480" w:lineRule="exact"/>
        <w:jc w:val="center"/>
        <w:rPr>
          <w:rFonts w:ascii="黑体" w:hAnsi="黑体" w:eastAsia="黑体"/>
          <w:sz w:val="28"/>
          <w:szCs w:val="28"/>
        </w:rPr>
      </w:pPr>
      <w:r>
        <w:rPr>
          <w:rFonts w:hint="eastAsia" w:ascii="黑体" w:hAnsi="黑体" w:eastAsia="黑体"/>
          <w:sz w:val="28"/>
          <w:szCs w:val="28"/>
        </w:rPr>
        <w:t>表</w:t>
      </w:r>
      <w:r>
        <w:rPr>
          <w:rFonts w:hint="eastAsia" w:ascii="Times New Roman" w:hAnsi="Times New Roman" w:eastAsia="黑体"/>
          <w:sz w:val="28"/>
          <w:szCs w:val="28"/>
        </w:rPr>
        <w:t>3</w:t>
      </w:r>
      <w:r>
        <w:rPr>
          <w:rFonts w:hint="eastAsia" w:ascii="黑体" w:hAnsi="黑体" w:eastAsia="黑体"/>
          <w:sz w:val="28"/>
          <w:szCs w:val="28"/>
        </w:rPr>
        <w:t>-</w:t>
      </w:r>
      <w:r>
        <w:rPr>
          <w:rFonts w:hint="eastAsia" w:ascii="Times New Roman" w:hAnsi="Times New Roman" w:eastAsia="黑体"/>
          <w:sz w:val="28"/>
          <w:szCs w:val="28"/>
        </w:rPr>
        <w:t>2</w:t>
      </w:r>
      <w:r>
        <w:rPr>
          <w:rFonts w:hint="eastAsia" w:ascii="黑体" w:hAnsi="黑体" w:eastAsia="黑体"/>
          <w:sz w:val="28"/>
          <w:szCs w:val="28"/>
        </w:rPr>
        <w:t xml:space="preserve"> 过程类指标及评价得分情况表</w:t>
      </w:r>
    </w:p>
    <w:tbl>
      <w:tblPr>
        <w:tblStyle w:val="18"/>
        <w:tblW w:w="8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709"/>
        <w:gridCol w:w="573"/>
        <w:gridCol w:w="1559"/>
        <w:gridCol w:w="567"/>
        <w:gridCol w:w="2552"/>
        <w:gridCol w:w="567"/>
        <w:gridCol w:w="844"/>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97" w:hRule="atLeast"/>
          <w:tblHeader/>
          <w:jc w:val="center"/>
        </w:trPr>
        <w:tc>
          <w:tcPr>
            <w:tcW w:w="709"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uto"/>
              <w:jc w:val="center"/>
              <w:rPr>
                <w:b/>
                <w:bCs/>
                <w:color w:val="000000"/>
                <w:sz w:val="20"/>
                <w:szCs w:val="20"/>
              </w:rPr>
            </w:pPr>
            <w:r>
              <w:rPr>
                <w:rFonts w:hint="eastAsia"/>
                <w:b/>
                <w:bCs/>
                <w:color w:val="000000"/>
                <w:sz w:val="20"/>
                <w:szCs w:val="20"/>
              </w:rPr>
              <w:t>一级指标</w:t>
            </w:r>
          </w:p>
        </w:tc>
        <w:tc>
          <w:tcPr>
            <w:tcW w:w="573"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uto"/>
              <w:jc w:val="center"/>
              <w:rPr>
                <w:b/>
                <w:bCs/>
                <w:color w:val="000000"/>
                <w:sz w:val="20"/>
                <w:szCs w:val="20"/>
              </w:rPr>
            </w:pPr>
            <w:r>
              <w:rPr>
                <w:rFonts w:hint="eastAsia"/>
                <w:b/>
                <w:bCs/>
                <w:color w:val="000000"/>
                <w:sz w:val="20"/>
                <w:szCs w:val="20"/>
              </w:rPr>
              <w:t>分值</w:t>
            </w:r>
          </w:p>
        </w:tc>
        <w:tc>
          <w:tcPr>
            <w:tcW w:w="1559"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uto"/>
              <w:jc w:val="center"/>
              <w:rPr>
                <w:b/>
                <w:bCs/>
                <w:color w:val="000000"/>
                <w:sz w:val="20"/>
                <w:szCs w:val="20"/>
              </w:rPr>
            </w:pPr>
            <w:r>
              <w:rPr>
                <w:rFonts w:hint="eastAsia"/>
                <w:b/>
                <w:bCs/>
                <w:color w:val="000000"/>
                <w:sz w:val="20"/>
                <w:szCs w:val="20"/>
              </w:rPr>
              <w:t>二级指标</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uto"/>
              <w:jc w:val="center"/>
              <w:rPr>
                <w:b/>
                <w:bCs/>
                <w:color w:val="000000"/>
                <w:sz w:val="20"/>
                <w:szCs w:val="20"/>
              </w:rPr>
            </w:pPr>
            <w:r>
              <w:rPr>
                <w:rFonts w:hint="eastAsia"/>
                <w:b/>
                <w:bCs/>
                <w:color w:val="000000"/>
                <w:sz w:val="20"/>
                <w:szCs w:val="20"/>
              </w:rPr>
              <w:t>分值</w:t>
            </w:r>
          </w:p>
        </w:tc>
        <w:tc>
          <w:tcPr>
            <w:tcW w:w="2552"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uto"/>
              <w:jc w:val="center"/>
              <w:rPr>
                <w:b/>
                <w:bCs/>
                <w:color w:val="000000"/>
                <w:sz w:val="20"/>
                <w:szCs w:val="20"/>
              </w:rPr>
            </w:pPr>
            <w:r>
              <w:rPr>
                <w:rFonts w:hint="eastAsia"/>
                <w:b/>
                <w:bCs/>
                <w:color w:val="000000"/>
                <w:sz w:val="20"/>
                <w:szCs w:val="20"/>
              </w:rPr>
              <w:t>三级指标</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uto"/>
              <w:jc w:val="center"/>
              <w:rPr>
                <w:b/>
                <w:bCs/>
                <w:color w:val="000000"/>
                <w:sz w:val="20"/>
                <w:szCs w:val="20"/>
              </w:rPr>
            </w:pPr>
            <w:r>
              <w:rPr>
                <w:rFonts w:hint="eastAsia"/>
                <w:b/>
                <w:bCs/>
                <w:color w:val="000000"/>
                <w:sz w:val="20"/>
                <w:szCs w:val="20"/>
              </w:rPr>
              <w:t>分值</w:t>
            </w:r>
          </w:p>
        </w:tc>
        <w:tc>
          <w:tcPr>
            <w:tcW w:w="844"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uto"/>
              <w:jc w:val="center"/>
              <w:rPr>
                <w:b/>
                <w:bCs/>
                <w:color w:val="000000"/>
                <w:sz w:val="20"/>
                <w:szCs w:val="20"/>
              </w:rPr>
            </w:pPr>
            <w:r>
              <w:rPr>
                <w:rFonts w:hint="eastAsia"/>
                <w:b/>
                <w:bCs/>
                <w:color w:val="000000"/>
                <w:sz w:val="20"/>
                <w:szCs w:val="20"/>
              </w:rPr>
              <w:t>评价得分</w:t>
            </w:r>
          </w:p>
        </w:tc>
        <w:tc>
          <w:tcPr>
            <w:tcW w:w="94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uto"/>
              <w:jc w:val="center"/>
              <w:rPr>
                <w:b/>
                <w:bCs/>
                <w:color w:val="000000"/>
                <w:sz w:val="20"/>
                <w:szCs w:val="20"/>
              </w:rPr>
            </w:pPr>
            <w:r>
              <w:rPr>
                <w:rFonts w:hint="eastAsia"/>
                <w:b/>
                <w:bCs/>
                <w:color w:val="000000"/>
                <w:sz w:val="20"/>
                <w:szCs w:val="20"/>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97" w:hRule="exact"/>
          <w:jc w:val="center"/>
        </w:trPr>
        <w:tc>
          <w:tcPr>
            <w:tcW w:w="709" w:type="dxa"/>
            <w:vMerge w:val="restart"/>
            <w:tcBorders>
              <w:top w:val="single" w:color="auto" w:sz="4" w:space="0"/>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r>
              <w:rPr>
                <w:rFonts w:hint="eastAsia" w:ascii="Times New Roman" w:hAnsi="Times New Roman" w:cs="仿宋_GB2312"/>
                <w:color w:val="000000"/>
                <w:sz w:val="20"/>
                <w:szCs w:val="20"/>
              </w:rPr>
              <w:t>B</w:t>
            </w:r>
            <w:r>
              <w:rPr>
                <w:rFonts w:hint="eastAsia" w:cs="仿宋_GB2312"/>
                <w:color w:val="000000"/>
                <w:sz w:val="20"/>
                <w:szCs w:val="20"/>
              </w:rPr>
              <w:t>过程</w:t>
            </w:r>
          </w:p>
        </w:tc>
        <w:tc>
          <w:tcPr>
            <w:tcW w:w="573" w:type="dxa"/>
            <w:vMerge w:val="restart"/>
            <w:tcBorders>
              <w:top w:val="single" w:color="auto" w:sz="4" w:space="0"/>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r>
              <w:rPr>
                <w:rFonts w:hint="eastAsia" w:ascii="Times New Roman" w:hAnsi="Times New Roman" w:cs="仿宋_GB2312"/>
                <w:color w:val="000000"/>
                <w:sz w:val="20"/>
                <w:szCs w:val="20"/>
              </w:rPr>
              <w:t>20</w:t>
            </w:r>
          </w:p>
        </w:tc>
        <w:tc>
          <w:tcPr>
            <w:tcW w:w="1559" w:type="dxa"/>
            <w:vMerge w:val="restart"/>
            <w:tcBorders>
              <w:top w:val="single" w:color="auto" w:sz="4" w:space="0"/>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r>
              <w:rPr>
                <w:rFonts w:hint="eastAsia" w:ascii="Times New Roman" w:hAnsi="Times New Roman" w:cs="仿宋_GB2312"/>
                <w:color w:val="000000"/>
                <w:sz w:val="20"/>
                <w:szCs w:val="20"/>
              </w:rPr>
              <w:t>B</w:t>
            </w:r>
            <w:r>
              <w:rPr>
                <w:rFonts w:ascii="Times New Roman" w:hAnsi="Times New Roman" w:cs="仿宋_GB2312"/>
                <w:color w:val="000000"/>
                <w:sz w:val="20"/>
                <w:szCs w:val="20"/>
              </w:rPr>
              <w:t>1</w:t>
            </w:r>
            <w:r>
              <w:rPr>
                <w:rFonts w:cs="仿宋_GB2312"/>
                <w:color w:val="000000"/>
                <w:sz w:val="20"/>
                <w:szCs w:val="20"/>
              </w:rPr>
              <w:t>资金管理</w:t>
            </w:r>
          </w:p>
        </w:tc>
        <w:tc>
          <w:tcPr>
            <w:tcW w:w="567" w:type="dxa"/>
            <w:vMerge w:val="restart"/>
            <w:tcBorders>
              <w:top w:val="single" w:color="auto" w:sz="4" w:space="0"/>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r>
              <w:rPr>
                <w:rFonts w:hint="eastAsia" w:ascii="Times New Roman" w:hAnsi="Times New Roman" w:cs="仿宋_GB2312"/>
                <w:color w:val="000000"/>
                <w:sz w:val="20"/>
                <w:szCs w:val="20"/>
              </w:rPr>
              <w:t>10</w:t>
            </w:r>
          </w:p>
        </w:tc>
        <w:tc>
          <w:tcPr>
            <w:tcW w:w="255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center"/>
              <w:rPr>
                <w:rFonts w:cs="仿宋_GB2312"/>
                <w:color w:val="000000"/>
                <w:sz w:val="20"/>
                <w:szCs w:val="20"/>
              </w:rPr>
            </w:pPr>
            <w:r>
              <w:rPr>
                <w:rFonts w:hint="eastAsia" w:ascii="Times New Roman" w:hAnsi="Times New Roman" w:cs="仿宋_GB2312"/>
                <w:color w:val="000000"/>
                <w:sz w:val="20"/>
                <w:szCs w:val="20"/>
              </w:rPr>
              <w:t>B</w:t>
            </w:r>
            <w:r>
              <w:rPr>
                <w:rFonts w:ascii="Times New Roman" w:hAnsi="Times New Roman" w:cs="仿宋_GB2312"/>
                <w:color w:val="000000"/>
                <w:sz w:val="20"/>
                <w:szCs w:val="20"/>
              </w:rPr>
              <w:t>11</w:t>
            </w:r>
            <w:r>
              <w:rPr>
                <w:rFonts w:cs="仿宋_GB2312"/>
                <w:color w:val="000000"/>
                <w:sz w:val="20"/>
                <w:szCs w:val="20"/>
              </w:rPr>
              <w:t>资金到位率</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仿宋_GB2312"/>
                <w:bCs/>
                <w:sz w:val="20"/>
                <w:szCs w:val="20"/>
              </w:rPr>
            </w:pPr>
            <w:r>
              <w:rPr>
                <w:rFonts w:hint="eastAsia" w:ascii="Times New Roman" w:hAnsi="Times New Roman" w:cs="仿宋_GB2312"/>
                <w:bCs/>
                <w:sz w:val="20"/>
                <w:szCs w:val="20"/>
              </w:rPr>
              <w:t>2</w:t>
            </w:r>
          </w:p>
        </w:tc>
        <w:tc>
          <w:tcPr>
            <w:tcW w:w="8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仿宋_GB2312"/>
                <w:bCs/>
                <w:sz w:val="20"/>
                <w:szCs w:val="20"/>
                <w:highlight w:val="none"/>
              </w:rPr>
            </w:pPr>
            <w:r>
              <w:rPr>
                <w:rFonts w:hint="eastAsia" w:ascii="Times New Roman" w:hAnsi="Times New Roman" w:cs="仿宋_GB2312"/>
                <w:bCs/>
                <w:sz w:val="20"/>
                <w:szCs w:val="20"/>
                <w:highlight w:val="none"/>
              </w:rPr>
              <w:t>2</w:t>
            </w:r>
          </w:p>
        </w:tc>
        <w:tc>
          <w:tcPr>
            <w:tcW w:w="94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仿宋_GB2312"/>
                <w:bCs/>
                <w:sz w:val="20"/>
                <w:szCs w:val="20"/>
                <w:highlight w:val="none"/>
              </w:rPr>
            </w:pPr>
            <w:r>
              <w:rPr>
                <w:rFonts w:hint="eastAsia" w:ascii="Times New Roman" w:hAnsi="Times New Roman" w:cs="仿宋_GB2312"/>
                <w:bCs/>
                <w:sz w:val="20"/>
                <w:szCs w:val="20"/>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709" w:type="dxa"/>
            <w:vMerge w:val="continue"/>
            <w:tcBorders>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p>
        </w:tc>
        <w:tc>
          <w:tcPr>
            <w:tcW w:w="573" w:type="dxa"/>
            <w:vMerge w:val="continue"/>
            <w:tcBorders>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p>
        </w:tc>
        <w:tc>
          <w:tcPr>
            <w:tcW w:w="1559" w:type="dxa"/>
            <w:vMerge w:val="continue"/>
            <w:tcBorders>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p>
        </w:tc>
        <w:tc>
          <w:tcPr>
            <w:tcW w:w="567" w:type="dxa"/>
            <w:vMerge w:val="continue"/>
            <w:tcBorders>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center"/>
              <w:rPr>
                <w:rFonts w:cs="仿宋_GB2312"/>
                <w:color w:val="000000"/>
                <w:sz w:val="20"/>
                <w:szCs w:val="20"/>
              </w:rPr>
            </w:pPr>
            <w:r>
              <w:rPr>
                <w:rFonts w:hint="eastAsia" w:ascii="Times New Roman" w:hAnsi="Times New Roman" w:cs="仿宋_GB2312"/>
                <w:color w:val="000000"/>
                <w:sz w:val="20"/>
                <w:szCs w:val="20"/>
              </w:rPr>
              <w:t>B</w:t>
            </w:r>
            <w:r>
              <w:rPr>
                <w:rFonts w:ascii="Times New Roman" w:hAnsi="Times New Roman" w:cs="仿宋_GB2312"/>
                <w:color w:val="000000"/>
                <w:sz w:val="20"/>
                <w:szCs w:val="20"/>
              </w:rPr>
              <w:t>1</w:t>
            </w:r>
            <w:r>
              <w:rPr>
                <w:rFonts w:hint="eastAsia" w:ascii="Times New Roman" w:hAnsi="Times New Roman" w:cs="仿宋_GB2312"/>
                <w:color w:val="000000"/>
                <w:sz w:val="20"/>
                <w:szCs w:val="20"/>
              </w:rPr>
              <w:t>2</w:t>
            </w:r>
            <w:r>
              <w:rPr>
                <w:rFonts w:cs="仿宋_GB2312"/>
                <w:color w:val="000000"/>
                <w:sz w:val="20"/>
                <w:szCs w:val="20"/>
              </w:rPr>
              <w:t>预算执行率</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仿宋_GB2312"/>
                <w:bCs/>
                <w:sz w:val="20"/>
                <w:szCs w:val="20"/>
              </w:rPr>
            </w:pPr>
            <w:r>
              <w:rPr>
                <w:rFonts w:hint="eastAsia" w:ascii="Times New Roman" w:hAnsi="Times New Roman" w:cs="仿宋_GB2312"/>
                <w:bCs/>
                <w:sz w:val="20"/>
                <w:szCs w:val="20"/>
              </w:rPr>
              <w:t>3</w:t>
            </w:r>
          </w:p>
        </w:tc>
        <w:tc>
          <w:tcPr>
            <w:tcW w:w="8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仿宋_GB2312"/>
                <w:bCs/>
                <w:sz w:val="20"/>
                <w:szCs w:val="20"/>
                <w:highlight w:val="none"/>
                <w:lang w:val="en-US" w:eastAsia="zh-CN"/>
              </w:rPr>
            </w:pPr>
            <w:r>
              <w:rPr>
                <w:rFonts w:hint="eastAsia" w:ascii="Times New Roman" w:hAnsi="Times New Roman" w:cs="仿宋_GB2312"/>
                <w:bCs/>
                <w:sz w:val="20"/>
                <w:szCs w:val="20"/>
                <w:highlight w:val="none"/>
                <w:lang w:val="en-US" w:eastAsia="zh-CN"/>
              </w:rPr>
              <w:t>2.66</w:t>
            </w:r>
          </w:p>
        </w:tc>
        <w:tc>
          <w:tcPr>
            <w:tcW w:w="94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仿宋_GB2312"/>
                <w:bCs/>
                <w:sz w:val="20"/>
                <w:szCs w:val="20"/>
                <w:highlight w:val="none"/>
                <w:lang w:val="en-US" w:eastAsia="zh-CN"/>
              </w:rPr>
            </w:pPr>
            <w:r>
              <w:rPr>
                <w:rFonts w:hint="eastAsia" w:ascii="Times New Roman" w:hAnsi="Times New Roman" w:cs="仿宋_GB2312"/>
                <w:bCs/>
                <w:sz w:val="20"/>
                <w:szCs w:val="20"/>
                <w:highlight w:val="none"/>
                <w:lang w:val="en-US" w:eastAsia="zh-CN"/>
              </w:rPr>
              <w:t>88.67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97" w:hRule="exact"/>
          <w:jc w:val="center"/>
        </w:trPr>
        <w:tc>
          <w:tcPr>
            <w:tcW w:w="709" w:type="dxa"/>
            <w:vMerge w:val="continue"/>
            <w:tcBorders>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p>
        </w:tc>
        <w:tc>
          <w:tcPr>
            <w:tcW w:w="573" w:type="dxa"/>
            <w:vMerge w:val="continue"/>
            <w:tcBorders>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p>
        </w:tc>
        <w:tc>
          <w:tcPr>
            <w:tcW w:w="1559" w:type="dxa"/>
            <w:vMerge w:val="continue"/>
            <w:tcBorders>
              <w:left w:val="single" w:color="auto" w:sz="4" w:space="0"/>
              <w:bottom w:val="single" w:color="auto" w:sz="4" w:space="0"/>
              <w:right w:val="single" w:color="auto" w:sz="4" w:space="0"/>
            </w:tcBorders>
            <w:vAlign w:val="center"/>
          </w:tcPr>
          <w:p>
            <w:pPr>
              <w:spacing w:line="240" w:lineRule="auto"/>
              <w:jc w:val="center"/>
              <w:textAlignment w:val="center"/>
              <w:rPr>
                <w:rFonts w:cs="仿宋_GB2312"/>
                <w:color w:val="000000"/>
                <w:sz w:val="20"/>
                <w:szCs w:val="20"/>
              </w:rPr>
            </w:pPr>
          </w:p>
        </w:tc>
        <w:tc>
          <w:tcPr>
            <w:tcW w:w="567" w:type="dxa"/>
            <w:vMerge w:val="continue"/>
            <w:tcBorders>
              <w:left w:val="single" w:color="auto" w:sz="4" w:space="0"/>
              <w:bottom w:val="single" w:color="auto" w:sz="4" w:space="0"/>
              <w:right w:val="single" w:color="auto" w:sz="4" w:space="0"/>
            </w:tcBorders>
            <w:vAlign w:val="center"/>
          </w:tcPr>
          <w:p>
            <w:pPr>
              <w:spacing w:line="240" w:lineRule="auto"/>
              <w:jc w:val="center"/>
              <w:textAlignment w:val="center"/>
              <w:rPr>
                <w:rFonts w:cs="仿宋_GB2312"/>
                <w:color w:val="0000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center"/>
              <w:rPr>
                <w:rFonts w:cs="仿宋_GB2312"/>
                <w:color w:val="000000"/>
                <w:sz w:val="20"/>
                <w:szCs w:val="20"/>
              </w:rPr>
            </w:pPr>
            <w:r>
              <w:rPr>
                <w:rFonts w:hint="eastAsia" w:ascii="Times New Roman" w:hAnsi="Times New Roman" w:cs="仿宋_GB2312"/>
                <w:color w:val="000000"/>
                <w:sz w:val="20"/>
                <w:szCs w:val="20"/>
              </w:rPr>
              <w:t>B</w:t>
            </w:r>
            <w:r>
              <w:rPr>
                <w:rFonts w:ascii="Times New Roman" w:hAnsi="Times New Roman" w:cs="仿宋_GB2312"/>
                <w:color w:val="000000"/>
                <w:sz w:val="20"/>
                <w:szCs w:val="20"/>
              </w:rPr>
              <w:t>1</w:t>
            </w:r>
            <w:r>
              <w:rPr>
                <w:rFonts w:hint="eastAsia" w:ascii="Times New Roman" w:hAnsi="Times New Roman" w:cs="仿宋_GB2312"/>
                <w:color w:val="000000"/>
                <w:sz w:val="20"/>
                <w:szCs w:val="20"/>
              </w:rPr>
              <w:t>3</w:t>
            </w:r>
            <w:r>
              <w:rPr>
                <w:rFonts w:cs="仿宋_GB2312"/>
                <w:color w:val="000000"/>
                <w:sz w:val="20"/>
                <w:szCs w:val="20"/>
              </w:rPr>
              <w:t>资金使用合规性</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仿宋_GB2312"/>
                <w:bCs/>
                <w:sz w:val="20"/>
                <w:szCs w:val="20"/>
              </w:rPr>
            </w:pPr>
            <w:r>
              <w:rPr>
                <w:rFonts w:hint="eastAsia" w:ascii="Times New Roman" w:hAnsi="Times New Roman" w:cs="仿宋_GB2312"/>
                <w:bCs/>
                <w:sz w:val="20"/>
                <w:szCs w:val="20"/>
              </w:rPr>
              <w:t>5</w:t>
            </w:r>
          </w:p>
        </w:tc>
        <w:tc>
          <w:tcPr>
            <w:tcW w:w="8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仿宋_GB2312"/>
                <w:bCs/>
                <w:sz w:val="20"/>
                <w:szCs w:val="20"/>
                <w:highlight w:val="none"/>
              </w:rPr>
            </w:pPr>
            <w:r>
              <w:rPr>
                <w:rFonts w:hint="eastAsia" w:ascii="Times New Roman" w:hAnsi="Times New Roman" w:cs="仿宋_GB2312"/>
                <w:bCs/>
                <w:sz w:val="20"/>
                <w:szCs w:val="20"/>
                <w:highlight w:val="none"/>
              </w:rPr>
              <w:t>5</w:t>
            </w:r>
          </w:p>
        </w:tc>
        <w:tc>
          <w:tcPr>
            <w:tcW w:w="94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仿宋_GB2312"/>
                <w:bCs/>
                <w:sz w:val="20"/>
                <w:szCs w:val="20"/>
                <w:highlight w:val="none"/>
              </w:rPr>
            </w:pPr>
            <w:r>
              <w:rPr>
                <w:rFonts w:hint="eastAsia" w:ascii="Times New Roman" w:hAnsi="Times New Roman" w:cs="仿宋_GB2312"/>
                <w:bCs/>
                <w:sz w:val="20"/>
                <w:szCs w:val="20"/>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97" w:hRule="exact"/>
          <w:jc w:val="center"/>
        </w:trPr>
        <w:tc>
          <w:tcPr>
            <w:tcW w:w="709" w:type="dxa"/>
            <w:vMerge w:val="continue"/>
            <w:tcBorders>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p>
        </w:tc>
        <w:tc>
          <w:tcPr>
            <w:tcW w:w="573" w:type="dxa"/>
            <w:vMerge w:val="continue"/>
            <w:tcBorders>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p>
        </w:tc>
        <w:tc>
          <w:tcPr>
            <w:tcW w:w="1559" w:type="dxa"/>
            <w:vMerge w:val="restart"/>
            <w:tcBorders>
              <w:top w:val="single" w:color="auto" w:sz="4" w:space="0"/>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r>
              <w:rPr>
                <w:rFonts w:hint="eastAsia" w:ascii="Times New Roman" w:hAnsi="Times New Roman" w:cs="仿宋_GB2312"/>
                <w:color w:val="000000"/>
                <w:sz w:val="20"/>
                <w:szCs w:val="20"/>
              </w:rPr>
              <w:t>B2</w:t>
            </w:r>
            <w:r>
              <w:rPr>
                <w:rFonts w:cs="仿宋_GB2312"/>
                <w:color w:val="000000"/>
                <w:sz w:val="20"/>
                <w:szCs w:val="20"/>
              </w:rPr>
              <w:t>组织实施</w:t>
            </w:r>
          </w:p>
        </w:tc>
        <w:tc>
          <w:tcPr>
            <w:tcW w:w="567" w:type="dxa"/>
            <w:vMerge w:val="restart"/>
            <w:tcBorders>
              <w:top w:val="single" w:color="auto" w:sz="4" w:space="0"/>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r>
              <w:rPr>
                <w:rFonts w:hint="eastAsia" w:ascii="Times New Roman" w:hAnsi="Times New Roman" w:cs="仿宋_GB2312"/>
                <w:color w:val="000000"/>
                <w:sz w:val="20"/>
                <w:szCs w:val="20"/>
              </w:rPr>
              <w:t>10</w:t>
            </w:r>
          </w:p>
        </w:tc>
        <w:tc>
          <w:tcPr>
            <w:tcW w:w="255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center"/>
              <w:rPr>
                <w:rFonts w:cs="仿宋_GB2312"/>
                <w:color w:val="000000"/>
                <w:sz w:val="20"/>
                <w:szCs w:val="20"/>
              </w:rPr>
            </w:pPr>
            <w:r>
              <w:rPr>
                <w:rFonts w:hint="eastAsia" w:ascii="Times New Roman" w:hAnsi="Times New Roman" w:cs="仿宋_GB2312"/>
                <w:color w:val="000000"/>
                <w:sz w:val="20"/>
                <w:szCs w:val="20"/>
              </w:rPr>
              <w:t>B21</w:t>
            </w:r>
            <w:r>
              <w:rPr>
                <w:rFonts w:cs="仿宋_GB2312"/>
                <w:color w:val="000000"/>
                <w:sz w:val="20"/>
                <w:szCs w:val="20"/>
              </w:rPr>
              <w:t>管理制度健全性</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仿宋_GB2312"/>
                <w:bCs/>
                <w:sz w:val="20"/>
                <w:szCs w:val="20"/>
              </w:rPr>
            </w:pPr>
            <w:r>
              <w:rPr>
                <w:rFonts w:hint="eastAsia" w:ascii="Times New Roman" w:hAnsi="Times New Roman" w:cs="仿宋_GB2312"/>
                <w:bCs/>
                <w:sz w:val="20"/>
                <w:szCs w:val="20"/>
              </w:rPr>
              <w:t>2</w:t>
            </w:r>
          </w:p>
        </w:tc>
        <w:tc>
          <w:tcPr>
            <w:tcW w:w="8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仿宋_GB2312"/>
                <w:bCs/>
                <w:sz w:val="20"/>
                <w:szCs w:val="20"/>
                <w:highlight w:val="none"/>
              </w:rPr>
            </w:pPr>
            <w:r>
              <w:rPr>
                <w:rFonts w:hint="eastAsia" w:ascii="Times New Roman" w:hAnsi="Times New Roman" w:cs="仿宋_GB2312"/>
                <w:bCs/>
                <w:sz w:val="20"/>
                <w:szCs w:val="20"/>
                <w:highlight w:val="none"/>
              </w:rPr>
              <w:t>1</w:t>
            </w:r>
          </w:p>
        </w:tc>
        <w:tc>
          <w:tcPr>
            <w:tcW w:w="94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仿宋_GB2312"/>
                <w:bCs/>
                <w:sz w:val="20"/>
                <w:szCs w:val="20"/>
                <w:highlight w:val="none"/>
              </w:rPr>
            </w:pPr>
            <w:r>
              <w:rPr>
                <w:rFonts w:hint="eastAsia" w:ascii="Times New Roman" w:hAnsi="Times New Roman" w:cs="仿宋_GB2312"/>
                <w:bCs/>
                <w:sz w:val="20"/>
                <w:szCs w:val="20"/>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97" w:hRule="exact"/>
          <w:jc w:val="center"/>
        </w:trPr>
        <w:tc>
          <w:tcPr>
            <w:tcW w:w="709" w:type="dxa"/>
            <w:vMerge w:val="continue"/>
            <w:tcBorders>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p>
        </w:tc>
        <w:tc>
          <w:tcPr>
            <w:tcW w:w="573" w:type="dxa"/>
            <w:vMerge w:val="continue"/>
            <w:tcBorders>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p>
        </w:tc>
        <w:tc>
          <w:tcPr>
            <w:tcW w:w="1559" w:type="dxa"/>
            <w:vMerge w:val="continue"/>
            <w:tcBorders>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p>
        </w:tc>
        <w:tc>
          <w:tcPr>
            <w:tcW w:w="567" w:type="dxa"/>
            <w:vMerge w:val="continue"/>
            <w:tcBorders>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center"/>
              <w:rPr>
                <w:rFonts w:cs="仿宋_GB2312"/>
                <w:color w:val="000000"/>
                <w:sz w:val="20"/>
                <w:szCs w:val="20"/>
              </w:rPr>
            </w:pPr>
            <w:r>
              <w:rPr>
                <w:rFonts w:hint="eastAsia" w:ascii="Times New Roman" w:hAnsi="Times New Roman" w:cs="仿宋_GB2312"/>
                <w:color w:val="000000"/>
                <w:sz w:val="20"/>
                <w:szCs w:val="20"/>
              </w:rPr>
              <w:t>B22</w:t>
            </w:r>
            <w:r>
              <w:rPr>
                <w:rFonts w:cs="仿宋_GB2312"/>
                <w:color w:val="000000"/>
                <w:sz w:val="20"/>
                <w:szCs w:val="20"/>
              </w:rPr>
              <w:t>制度执行有效性</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仿宋_GB2312"/>
                <w:color w:val="000000"/>
                <w:sz w:val="20"/>
                <w:szCs w:val="20"/>
              </w:rPr>
            </w:pPr>
            <w:r>
              <w:rPr>
                <w:rFonts w:hint="eastAsia" w:ascii="Times New Roman" w:hAnsi="Times New Roman"/>
                <w:sz w:val="20"/>
                <w:szCs w:val="20"/>
              </w:rPr>
              <w:t>4</w:t>
            </w:r>
          </w:p>
        </w:tc>
        <w:tc>
          <w:tcPr>
            <w:tcW w:w="8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仿宋_GB2312"/>
                <w:bCs/>
                <w:sz w:val="20"/>
                <w:szCs w:val="20"/>
                <w:highlight w:val="none"/>
              </w:rPr>
            </w:pPr>
            <w:r>
              <w:rPr>
                <w:rFonts w:hint="eastAsia" w:ascii="Times New Roman" w:hAnsi="Times New Roman" w:cs="仿宋_GB2312"/>
                <w:bCs/>
                <w:sz w:val="20"/>
                <w:szCs w:val="20"/>
                <w:highlight w:val="none"/>
              </w:rPr>
              <w:t>2</w:t>
            </w:r>
          </w:p>
        </w:tc>
        <w:tc>
          <w:tcPr>
            <w:tcW w:w="94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仿宋_GB2312"/>
                <w:bCs/>
                <w:sz w:val="20"/>
                <w:szCs w:val="20"/>
                <w:highlight w:val="none"/>
              </w:rPr>
            </w:pPr>
            <w:r>
              <w:rPr>
                <w:rFonts w:hint="eastAsia" w:ascii="Times New Roman" w:hAnsi="Times New Roman" w:cs="仿宋_GB2312"/>
                <w:bCs/>
                <w:sz w:val="20"/>
                <w:szCs w:val="20"/>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97" w:hRule="exact"/>
          <w:jc w:val="center"/>
        </w:trPr>
        <w:tc>
          <w:tcPr>
            <w:tcW w:w="709" w:type="dxa"/>
            <w:vMerge w:val="continue"/>
            <w:tcBorders>
              <w:left w:val="single" w:color="auto" w:sz="4" w:space="0"/>
              <w:bottom w:val="single" w:color="auto" w:sz="4" w:space="0"/>
              <w:right w:val="single" w:color="auto" w:sz="4" w:space="0"/>
            </w:tcBorders>
            <w:vAlign w:val="center"/>
          </w:tcPr>
          <w:p>
            <w:pPr>
              <w:spacing w:line="240" w:lineRule="auto"/>
              <w:jc w:val="center"/>
              <w:textAlignment w:val="center"/>
              <w:rPr>
                <w:rFonts w:cs="仿宋_GB2312"/>
                <w:color w:val="000000"/>
                <w:sz w:val="20"/>
                <w:szCs w:val="20"/>
              </w:rPr>
            </w:pPr>
          </w:p>
        </w:tc>
        <w:tc>
          <w:tcPr>
            <w:tcW w:w="573" w:type="dxa"/>
            <w:vMerge w:val="continue"/>
            <w:tcBorders>
              <w:left w:val="single" w:color="auto" w:sz="4" w:space="0"/>
              <w:bottom w:val="single" w:color="auto" w:sz="4" w:space="0"/>
              <w:right w:val="single" w:color="auto" w:sz="4" w:space="0"/>
            </w:tcBorders>
            <w:vAlign w:val="center"/>
          </w:tcPr>
          <w:p>
            <w:pPr>
              <w:spacing w:line="240" w:lineRule="auto"/>
              <w:jc w:val="center"/>
              <w:textAlignment w:val="center"/>
              <w:rPr>
                <w:rFonts w:cs="仿宋_GB2312"/>
                <w:color w:val="000000"/>
                <w:sz w:val="20"/>
                <w:szCs w:val="20"/>
              </w:rPr>
            </w:pPr>
          </w:p>
        </w:tc>
        <w:tc>
          <w:tcPr>
            <w:tcW w:w="1559" w:type="dxa"/>
            <w:vMerge w:val="continue"/>
            <w:tcBorders>
              <w:left w:val="single" w:color="auto" w:sz="4" w:space="0"/>
              <w:bottom w:val="single" w:color="auto" w:sz="4" w:space="0"/>
              <w:right w:val="single" w:color="auto" w:sz="4" w:space="0"/>
            </w:tcBorders>
            <w:vAlign w:val="center"/>
          </w:tcPr>
          <w:p>
            <w:pPr>
              <w:spacing w:line="240" w:lineRule="auto"/>
              <w:jc w:val="center"/>
              <w:textAlignment w:val="center"/>
              <w:rPr>
                <w:rFonts w:cs="仿宋_GB2312"/>
                <w:color w:val="000000"/>
                <w:sz w:val="20"/>
                <w:szCs w:val="20"/>
              </w:rPr>
            </w:pPr>
          </w:p>
        </w:tc>
        <w:tc>
          <w:tcPr>
            <w:tcW w:w="567" w:type="dxa"/>
            <w:vMerge w:val="continue"/>
            <w:tcBorders>
              <w:left w:val="single" w:color="auto" w:sz="4" w:space="0"/>
              <w:bottom w:val="single" w:color="auto" w:sz="4" w:space="0"/>
              <w:right w:val="single" w:color="auto" w:sz="4" w:space="0"/>
            </w:tcBorders>
            <w:vAlign w:val="center"/>
          </w:tcPr>
          <w:p>
            <w:pPr>
              <w:spacing w:line="240" w:lineRule="auto"/>
              <w:jc w:val="center"/>
              <w:textAlignment w:val="center"/>
              <w:rPr>
                <w:rFonts w:cs="仿宋_GB2312"/>
                <w:color w:val="000000"/>
                <w:sz w:val="20"/>
                <w:szCs w:val="20"/>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center"/>
              <w:rPr>
                <w:rFonts w:cs="仿宋_GB2312"/>
                <w:color w:val="000000"/>
                <w:sz w:val="20"/>
                <w:szCs w:val="20"/>
              </w:rPr>
            </w:pPr>
            <w:r>
              <w:rPr>
                <w:rFonts w:hint="eastAsia" w:ascii="Times New Roman" w:hAnsi="Times New Roman" w:cs="仿宋_GB2312"/>
                <w:color w:val="000000"/>
                <w:sz w:val="20"/>
                <w:szCs w:val="20"/>
              </w:rPr>
              <w:t>B23</w:t>
            </w:r>
            <w:r>
              <w:rPr>
                <w:rFonts w:cs="仿宋_GB2312"/>
                <w:color w:val="000000"/>
                <w:sz w:val="20"/>
                <w:szCs w:val="20"/>
              </w:rPr>
              <w:t>项目监控规范性</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rFonts w:hint="eastAsia" w:ascii="Times New Roman" w:hAnsi="Times New Roman"/>
                <w:sz w:val="20"/>
                <w:szCs w:val="20"/>
              </w:rPr>
              <w:t>4</w:t>
            </w:r>
          </w:p>
        </w:tc>
        <w:tc>
          <w:tcPr>
            <w:tcW w:w="8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仿宋_GB2312"/>
                <w:bCs/>
                <w:sz w:val="20"/>
                <w:szCs w:val="20"/>
                <w:highlight w:val="none"/>
              </w:rPr>
            </w:pPr>
            <w:r>
              <w:rPr>
                <w:rFonts w:hint="eastAsia" w:ascii="Times New Roman" w:hAnsi="Times New Roman" w:cs="仿宋_GB2312"/>
                <w:bCs/>
                <w:sz w:val="20"/>
                <w:szCs w:val="20"/>
                <w:highlight w:val="none"/>
              </w:rPr>
              <w:t>4</w:t>
            </w:r>
          </w:p>
        </w:tc>
        <w:tc>
          <w:tcPr>
            <w:tcW w:w="94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仿宋_GB2312"/>
                <w:bCs/>
                <w:sz w:val="20"/>
                <w:szCs w:val="20"/>
                <w:highlight w:val="none"/>
              </w:rPr>
            </w:pPr>
            <w:r>
              <w:rPr>
                <w:rFonts w:hint="eastAsia" w:ascii="Times New Roman" w:hAnsi="Times New Roman" w:cs="仿宋_GB2312"/>
                <w:bCs/>
                <w:sz w:val="20"/>
                <w:szCs w:val="20"/>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97" w:hRule="exac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center"/>
              <w:rPr>
                <w:rFonts w:cs="仿宋_GB2312"/>
                <w:color w:val="000000"/>
                <w:sz w:val="20"/>
                <w:szCs w:val="20"/>
              </w:rPr>
            </w:pPr>
            <w:r>
              <w:rPr>
                <w:rFonts w:hint="eastAsia" w:cs="仿宋_GB2312"/>
                <w:color w:val="000000"/>
                <w:sz w:val="20"/>
                <w:szCs w:val="20"/>
              </w:rPr>
              <w:t>小计</w:t>
            </w:r>
          </w:p>
        </w:tc>
        <w:tc>
          <w:tcPr>
            <w:tcW w:w="5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center"/>
              <w:rPr>
                <w:rFonts w:cs="仿宋_GB2312"/>
                <w:color w:val="000000"/>
                <w:sz w:val="20"/>
                <w:szCs w:val="20"/>
              </w:rPr>
            </w:pPr>
            <w:r>
              <w:rPr>
                <w:rFonts w:hint="eastAsia" w:ascii="Times New Roman" w:hAnsi="Times New Roman" w:cs="仿宋_GB2312"/>
                <w:color w:val="000000"/>
                <w:sz w:val="20"/>
                <w:szCs w:val="20"/>
              </w:rPr>
              <w:t>20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center"/>
              <w:rPr>
                <w:rFonts w:cs="仿宋_GB2312"/>
                <w:color w:val="000000"/>
                <w:sz w:val="20"/>
                <w:szCs w:val="20"/>
              </w:rPr>
            </w:pPr>
            <w:r>
              <w:rPr>
                <w:rFonts w:hint="eastAsia" w:cs="仿宋_GB2312"/>
                <w:color w:val="000000"/>
                <w:sz w:val="20"/>
                <w:szCs w:val="20"/>
              </w:rPr>
              <w:t>--</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center"/>
              <w:rPr>
                <w:rFonts w:cs="仿宋_GB2312"/>
                <w:color w:val="000000"/>
                <w:sz w:val="20"/>
                <w:szCs w:val="20"/>
              </w:rPr>
            </w:pPr>
            <w:r>
              <w:rPr>
                <w:rFonts w:hint="eastAsia" w:ascii="Times New Roman" w:hAnsi="Times New Roman" w:cs="仿宋_GB2312"/>
                <w:color w:val="000000"/>
                <w:sz w:val="20"/>
                <w:szCs w:val="20"/>
              </w:rPr>
              <w:t>20</w:t>
            </w:r>
          </w:p>
        </w:tc>
        <w:tc>
          <w:tcPr>
            <w:tcW w:w="255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center"/>
              <w:rPr>
                <w:rFonts w:cs="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center"/>
              <w:rPr>
                <w:rFonts w:cs="仿宋_GB2312"/>
                <w:color w:val="000000"/>
                <w:sz w:val="20"/>
                <w:szCs w:val="20"/>
              </w:rPr>
            </w:pPr>
            <w:r>
              <w:rPr>
                <w:rFonts w:hint="eastAsia" w:ascii="Times New Roman" w:hAnsi="Times New Roman" w:cs="仿宋_GB2312"/>
                <w:color w:val="000000"/>
                <w:sz w:val="20"/>
                <w:szCs w:val="20"/>
              </w:rPr>
              <w:t>20</w:t>
            </w:r>
          </w:p>
        </w:tc>
        <w:tc>
          <w:tcPr>
            <w:tcW w:w="8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仿宋_GB2312"/>
                <w:bCs/>
                <w:sz w:val="20"/>
                <w:szCs w:val="20"/>
                <w:highlight w:val="none"/>
                <w:lang w:val="en-US" w:eastAsia="zh-CN"/>
              </w:rPr>
            </w:pPr>
            <w:r>
              <w:rPr>
                <w:rFonts w:ascii="Times New Roman" w:hAnsi="Times New Roman" w:cs="仿宋_GB2312"/>
                <w:bCs/>
                <w:sz w:val="20"/>
                <w:szCs w:val="20"/>
                <w:highlight w:val="none"/>
              </w:rPr>
              <w:t>1</w:t>
            </w:r>
            <w:r>
              <w:rPr>
                <w:rFonts w:hint="eastAsia" w:ascii="Times New Roman" w:hAnsi="Times New Roman" w:cs="仿宋_GB2312"/>
                <w:bCs/>
                <w:sz w:val="20"/>
                <w:szCs w:val="20"/>
                <w:highlight w:val="none"/>
                <w:lang w:val="en-US" w:eastAsia="zh-CN"/>
              </w:rPr>
              <w:t>6.66</w:t>
            </w:r>
          </w:p>
        </w:tc>
        <w:tc>
          <w:tcPr>
            <w:tcW w:w="94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eastAsia="宋体" w:cs="仿宋_GB2312"/>
                <w:bCs/>
                <w:sz w:val="20"/>
                <w:szCs w:val="20"/>
                <w:highlight w:val="none"/>
                <w:lang w:val="en-US" w:eastAsia="zh-CN"/>
              </w:rPr>
            </w:pPr>
            <w:r>
              <w:rPr>
                <w:rFonts w:hint="eastAsia" w:ascii="Times New Roman" w:hAnsi="Times New Roman" w:cs="仿宋_GB2312"/>
                <w:bCs/>
                <w:sz w:val="20"/>
                <w:szCs w:val="20"/>
                <w:highlight w:val="none"/>
              </w:rPr>
              <w:t>8</w:t>
            </w:r>
            <w:r>
              <w:rPr>
                <w:rFonts w:hint="eastAsia" w:ascii="Times New Roman" w:hAnsi="Times New Roman" w:cs="仿宋_GB2312"/>
                <w:bCs/>
                <w:sz w:val="20"/>
                <w:szCs w:val="20"/>
                <w:highlight w:val="none"/>
                <w:lang w:val="en-US" w:eastAsia="zh-CN"/>
              </w:rPr>
              <w:t>3.3</w:t>
            </w:r>
          </w:p>
        </w:tc>
      </w:tr>
    </w:tbl>
    <w:p>
      <w:pPr>
        <w:widowControl w:val="0"/>
        <w:spacing w:before="100" w:beforeAutospacing="1"/>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Times New Roman" w:hAnsi="Times New Roman" w:eastAsia="仿宋_GB2312" w:cs="仿宋"/>
          <w:sz w:val="32"/>
          <w:szCs w:val="32"/>
        </w:rPr>
        <w:t>1</w:t>
      </w:r>
      <w:r>
        <w:rPr>
          <w:rFonts w:hint="eastAsia" w:ascii="仿宋_GB2312" w:hAnsi="仿宋" w:eastAsia="仿宋_GB2312" w:cs="仿宋"/>
          <w:sz w:val="32"/>
          <w:szCs w:val="32"/>
        </w:rPr>
        <w:t>）</w:t>
      </w:r>
      <w:r>
        <w:rPr>
          <w:rFonts w:hint="eastAsia" w:ascii="Times New Roman" w:hAnsi="Times New Roman" w:eastAsia="仿宋_GB2312" w:cs="仿宋"/>
          <w:sz w:val="32"/>
          <w:szCs w:val="32"/>
        </w:rPr>
        <w:t>B11</w:t>
      </w:r>
      <w:r>
        <w:rPr>
          <w:rFonts w:hint="eastAsia" w:ascii="仿宋_GB2312" w:hAnsi="仿宋" w:eastAsia="仿宋_GB2312" w:cs="仿宋"/>
          <w:sz w:val="32"/>
          <w:szCs w:val="32"/>
        </w:rPr>
        <w:t>资金到位率（</w:t>
      </w:r>
      <w:r>
        <w:rPr>
          <w:rFonts w:hint="eastAsia" w:ascii="Times New Roman" w:hAnsi="Times New Roman" w:eastAsia="仿宋_GB2312" w:cs="仿宋"/>
          <w:sz w:val="32"/>
          <w:szCs w:val="32"/>
        </w:rPr>
        <w:t>2</w:t>
      </w:r>
      <w:r>
        <w:rPr>
          <w:rFonts w:hint="eastAsia" w:ascii="仿宋_GB2312" w:hAnsi="仿宋" w:eastAsia="仿宋_GB2312" w:cs="仿宋"/>
          <w:sz w:val="32"/>
          <w:szCs w:val="32"/>
        </w:rPr>
        <w:t>分）。本指标主要考察本年度内实际到位资金与预算资金的比率，用以反映和考核资金落实情况对项目实施的总体保障程度。</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通过查阅项目实施单位申报、审核资料，并对相关财务账簿进行核实，</w:t>
      </w:r>
      <w:r>
        <w:rPr>
          <w:rFonts w:hint="eastAsia" w:ascii="Times New Roman" w:hAnsi="Times New Roman" w:eastAsia="仿宋" w:cs="仿宋"/>
          <w:sz w:val="32"/>
          <w:szCs w:val="32"/>
        </w:rPr>
        <w:t>2019</w:t>
      </w:r>
      <w:r>
        <w:rPr>
          <w:rFonts w:hint="eastAsia" w:ascii="仿宋" w:hAnsi="仿宋" w:eastAsia="仿宋" w:cs="仿宋"/>
          <w:sz w:val="32"/>
          <w:szCs w:val="32"/>
        </w:rPr>
        <w:t>年</w:t>
      </w:r>
      <w:r>
        <w:rPr>
          <w:rFonts w:hint="eastAsia" w:ascii="Times New Roman" w:hAnsi="Times New Roman" w:eastAsia="仿宋" w:cs="仿宋"/>
          <w:sz w:val="32"/>
          <w:szCs w:val="32"/>
          <w:lang w:val="en-US" w:eastAsia="zh-CN"/>
        </w:rPr>
        <w:t>8</w:t>
      </w:r>
      <w:r>
        <w:rPr>
          <w:rFonts w:hint="eastAsia" w:ascii="仿宋" w:hAnsi="仿宋" w:eastAsia="仿宋" w:cs="仿宋"/>
          <w:sz w:val="32"/>
          <w:szCs w:val="32"/>
          <w:lang w:val="en-US" w:eastAsia="zh-CN"/>
        </w:rPr>
        <w:t>月</w:t>
      </w:r>
      <w:r>
        <w:rPr>
          <w:rFonts w:hint="eastAsia" w:ascii="Times New Roman" w:hAnsi="Times New Roman" w:eastAsia="仿宋" w:cs="仿宋"/>
          <w:sz w:val="32"/>
          <w:szCs w:val="32"/>
          <w:lang w:val="en-US" w:eastAsia="zh-CN"/>
        </w:rPr>
        <w:t>26</w:t>
      </w:r>
      <w:r>
        <w:rPr>
          <w:rFonts w:hint="eastAsia" w:ascii="仿宋" w:hAnsi="仿宋" w:eastAsia="仿宋" w:cs="仿宋"/>
          <w:sz w:val="32"/>
          <w:szCs w:val="32"/>
          <w:lang w:val="en-US" w:eastAsia="zh-CN"/>
        </w:rPr>
        <w:t>日，</w:t>
      </w:r>
      <w:r>
        <w:rPr>
          <w:rFonts w:hint="eastAsia" w:ascii="仿宋" w:hAnsi="仿宋" w:eastAsia="仿宋" w:cs="仿宋"/>
          <w:sz w:val="32"/>
          <w:szCs w:val="32"/>
        </w:rPr>
        <w:t>平陆县财政局脱贫攻坚领导小组办公室以《平陆县脱贫攻坚领导小组办公室&lt;关于下达</w:t>
      </w:r>
      <w:r>
        <w:rPr>
          <w:rFonts w:hint="eastAsia" w:ascii="Times New Roman" w:hAnsi="Times New Roman" w:eastAsia="仿宋" w:cs="仿宋"/>
          <w:sz w:val="32"/>
          <w:szCs w:val="32"/>
        </w:rPr>
        <w:t>2019</w:t>
      </w:r>
      <w:r>
        <w:rPr>
          <w:rFonts w:hint="eastAsia" w:ascii="仿宋" w:hAnsi="仿宋" w:eastAsia="仿宋" w:cs="仿宋"/>
          <w:sz w:val="32"/>
          <w:szCs w:val="32"/>
        </w:rPr>
        <w:t>年第七批统筹整合财政资金使用计划&gt;的通知》</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平脱贫攻坚组办</w:t>
      </w:r>
      <w:r>
        <w:rPr>
          <w:rFonts w:hint="eastAsia" w:ascii="仿宋_GB2312" w:hAnsi="仿宋_GB2312" w:eastAsia="仿宋_GB2312" w:cs="仿宋_GB2312"/>
          <w:sz w:val="32"/>
          <w:szCs w:val="32"/>
        </w:rPr>
        <w:t>〔</w:t>
      </w:r>
      <w:r>
        <w:rPr>
          <w:rFonts w:ascii="Times New Roman" w:hAnsi="Times New Roman" w:eastAsia="仿宋" w:cs="仿宋"/>
          <w:sz w:val="32"/>
          <w:szCs w:val="32"/>
        </w:rPr>
        <w:t>2019</w:t>
      </w:r>
      <w:r>
        <w:rPr>
          <w:rFonts w:ascii="仿宋_GB2312" w:hAnsi="仿宋_GB2312" w:eastAsia="仿宋_GB2312" w:cs="仿宋_GB2312"/>
          <w:sz w:val="32"/>
          <w:szCs w:val="32"/>
        </w:rPr>
        <w:t>〕</w:t>
      </w:r>
      <w:r>
        <w:rPr>
          <w:rFonts w:hint="eastAsia" w:ascii="Times New Roman" w:hAnsi="Times New Roman" w:eastAsia="仿宋" w:cs="仿宋"/>
          <w:sz w:val="32"/>
          <w:szCs w:val="32"/>
          <w:lang w:val="en-US" w:eastAsia="zh-CN"/>
        </w:rPr>
        <w:t>3</w:t>
      </w:r>
      <w:r>
        <w:rPr>
          <w:rFonts w:ascii="Times New Roman" w:hAnsi="Times New Roman" w:eastAsia="仿宋" w:cs="仿宋"/>
          <w:sz w:val="32"/>
          <w:szCs w:val="32"/>
        </w:rPr>
        <w:t>2</w:t>
      </w:r>
      <w:r>
        <w:rPr>
          <w:rFonts w:ascii="仿宋_GB2312" w:hAnsi="仿宋_GB2312" w:eastAsia="仿宋_GB2312" w:cs="仿宋_GB2312"/>
          <w:sz w:val="32"/>
          <w:szCs w:val="32"/>
        </w:rPr>
        <w:t>号）</w:t>
      </w:r>
      <w:r>
        <w:rPr>
          <w:rFonts w:hint="eastAsia" w:ascii="仿宋_GB2312" w:hAnsi="仿宋_GB2312" w:eastAsia="仿宋_GB2312" w:cs="仿宋_GB2312"/>
          <w:sz w:val="32"/>
          <w:szCs w:val="32"/>
        </w:rPr>
        <w:t>文件，下达预算资金</w:t>
      </w:r>
      <w:r>
        <w:rPr>
          <w:rFonts w:hint="eastAsia" w:ascii="Times New Roman" w:hAnsi="Times New Roman" w:eastAsia="仿宋" w:cs="仿宋"/>
          <w:sz w:val="32"/>
          <w:szCs w:val="32"/>
          <w:lang w:val="en-US" w:eastAsia="zh-CN"/>
        </w:rPr>
        <w:t>132.12</w:t>
      </w:r>
      <w:r>
        <w:rPr>
          <w:rFonts w:hint="eastAsia" w:ascii="仿宋_GB2312" w:hAnsi="仿宋_GB2312" w:eastAsia="仿宋_GB2312" w:cs="仿宋_GB2312"/>
          <w:sz w:val="32"/>
          <w:szCs w:val="32"/>
        </w:rPr>
        <w:t>万元</w:t>
      </w:r>
      <w:r>
        <w:rPr>
          <w:rFonts w:hint="eastAsia" w:ascii="仿宋_GB2312" w:hAnsi="仿宋" w:eastAsia="仿宋_GB2312" w:cs="仿宋"/>
          <w:sz w:val="32"/>
          <w:szCs w:val="32"/>
        </w:rPr>
        <w:t>，</w:t>
      </w:r>
      <w:r>
        <w:rPr>
          <w:rFonts w:hint="eastAsia" w:ascii="仿宋_GB2312" w:hAnsi="仿宋_GB2312" w:eastAsia="仿宋_GB2312" w:cs="仿宋_GB2312"/>
          <w:sz w:val="32"/>
          <w:szCs w:val="32"/>
        </w:rPr>
        <w:t>到位资金</w:t>
      </w:r>
      <w:r>
        <w:rPr>
          <w:rFonts w:hint="eastAsia" w:ascii="Times New Roman" w:hAnsi="Times New Roman" w:eastAsia="仿宋" w:cs="仿宋"/>
          <w:sz w:val="32"/>
          <w:szCs w:val="32"/>
          <w:lang w:val="en-US" w:eastAsia="zh-CN"/>
        </w:rPr>
        <w:t>132.12</w:t>
      </w:r>
      <w:r>
        <w:rPr>
          <w:rFonts w:hint="eastAsia" w:ascii="仿宋_GB2312" w:hAnsi="Times New Roman" w:eastAsia="仿宋_GB2312" w:cs="Times New Roman"/>
          <w:sz w:val="32"/>
          <w:szCs w:val="32"/>
        </w:rPr>
        <w:t>万元，</w:t>
      </w:r>
      <w:r>
        <w:rPr>
          <w:rFonts w:hint="eastAsia" w:ascii="仿宋_GB2312" w:hAnsi="仿宋" w:eastAsia="仿宋_GB2312" w:cs="Times New Roman"/>
          <w:sz w:val="32"/>
          <w:szCs w:val="32"/>
        </w:rPr>
        <w:t>资金到位率为</w:t>
      </w:r>
      <w:r>
        <w:rPr>
          <w:rFonts w:hint="eastAsia" w:ascii="Times New Roman" w:hAnsi="Times New Roman" w:eastAsia="仿宋" w:cs="仿宋"/>
          <w:sz w:val="32"/>
          <w:szCs w:val="32"/>
        </w:rPr>
        <w:t>100</w:t>
      </w:r>
      <w:r>
        <w:rPr>
          <w:rFonts w:hint="eastAsia" w:ascii="仿宋" w:hAnsi="仿宋" w:eastAsia="仿宋" w:cs="仿宋"/>
          <w:sz w:val="32"/>
          <w:szCs w:val="32"/>
        </w:rPr>
        <w:t>%</w:t>
      </w:r>
      <w:r>
        <w:rPr>
          <w:rFonts w:hint="eastAsia" w:ascii="仿宋_GB2312" w:hAnsi="仿宋" w:eastAsia="仿宋_GB2312" w:cs="Times New Roman"/>
          <w:sz w:val="32"/>
          <w:szCs w:val="32"/>
        </w:rPr>
        <w:t>。</w:t>
      </w:r>
      <w:r>
        <w:rPr>
          <w:rFonts w:ascii="仿宋_GB2312" w:hAnsi="仿宋" w:eastAsia="仿宋_GB2312" w:cs="仿宋"/>
          <w:sz w:val="32"/>
          <w:szCs w:val="32"/>
        </w:rPr>
        <w:t xml:space="preserve"> </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根据设置的指标体系中确定的评分标准和评分办法，</w:t>
      </w:r>
      <w:r>
        <w:rPr>
          <w:rFonts w:hint="eastAsia" w:ascii="仿宋_GB2312" w:hAnsi="仿宋" w:eastAsia="仿宋_GB2312" w:cs="仿宋_GB2312"/>
          <w:sz w:val="32"/>
          <w:szCs w:val="32"/>
        </w:rPr>
        <w:t>该项指标不扣分，共得分</w:t>
      </w:r>
      <w:r>
        <w:rPr>
          <w:rFonts w:hint="eastAsia" w:ascii="Times New Roman" w:hAnsi="Times New Roman" w:eastAsia="仿宋_GB2312" w:cs="仿宋_GB2312"/>
          <w:sz w:val="32"/>
          <w:szCs w:val="32"/>
        </w:rPr>
        <w:t>2</w:t>
      </w:r>
      <w:r>
        <w:rPr>
          <w:rFonts w:hint="eastAsia" w:ascii="仿宋_GB2312" w:hAnsi="仿宋" w:eastAsia="仿宋_GB2312" w:cs="仿宋_GB2312"/>
          <w:sz w:val="32"/>
          <w:szCs w:val="32"/>
        </w:rPr>
        <w:t>分，得分率为</w:t>
      </w:r>
      <w:r>
        <w:rPr>
          <w:rFonts w:hint="eastAsia" w:ascii="Times New Roman" w:hAnsi="Times New Roman" w:eastAsia="仿宋_GB2312" w:cs="仿宋_GB2312"/>
          <w:sz w:val="32"/>
          <w:szCs w:val="32"/>
        </w:rPr>
        <w:t>100</w:t>
      </w:r>
      <w:r>
        <w:rPr>
          <w:rFonts w:hint="eastAsia" w:ascii="仿宋_GB2312" w:hAnsi="仿宋" w:eastAsia="仿宋_GB2312" w:cs="仿宋_GB2312"/>
          <w:sz w:val="32"/>
          <w:szCs w:val="32"/>
        </w:rPr>
        <w:t>%。</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Times New Roman" w:hAnsi="Times New Roman" w:eastAsia="仿宋_GB2312" w:cs="仿宋"/>
          <w:sz w:val="32"/>
          <w:szCs w:val="32"/>
        </w:rPr>
        <w:t>2</w:t>
      </w:r>
      <w:r>
        <w:rPr>
          <w:rFonts w:hint="eastAsia" w:ascii="仿宋_GB2312" w:hAnsi="仿宋" w:eastAsia="仿宋_GB2312" w:cs="仿宋"/>
          <w:sz w:val="32"/>
          <w:szCs w:val="32"/>
        </w:rPr>
        <w:t>）</w:t>
      </w:r>
      <w:r>
        <w:rPr>
          <w:rFonts w:hint="eastAsia" w:ascii="Times New Roman" w:hAnsi="Times New Roman" w:eastAsia="仿宋_GB2312" w:cs="仿宋"/>
          <w:sz w:val="32"/>
          <w:szCs w:val="32"/>
        </w:rPr>
        <w:t>B12</w:t>
      </w:r>
      <w:r>
        <w:rPr>
          <w:rFonts w:hint="eastAsia" w:ascii="仿宋_GB2312" w:hAnsi="仿宋" w:eastAsia="仿宋_GB2312" w:cs="仿宋"/>
          <w:sz w:val="32"/>
          <w:szCs w:val="32"/>
        </w:rPr>
        <w:t>预算执行率（</w:t>
      </w:r>
      <w:r>
        <w:rPr>
          <w:rFonts w:hint="eastAsia" w:ascii="Times New Roman" w:hAnsi="Times New Roman" w:eastAsia="仿宋_GB2312" w:cs="Times New Roman"/>
          <w:sz w:val="32"/>
          <w:szCs w:val="32"/>
        </w:rPr>
        <w:t>3</w:t>
      </w:r>
      <w:r>
        <w:rPr>
          <w:rFonts w:hint="eastAsia" w:ascii="仿宋_GB2312" w:hAnsi="仿宋" w:eastAsia="仿宋_GB2312" w:cs="仿宋"/>
          <w:sz w:val="32"/>
          <w:szCs w:val="32"/>
        </w:rPr>
        <w:t>分）。本指标主要考察项目预算资金是否按照计划执行，用以反映或考核项目预算执行情况。</w:t>
      </w:r>
    </w:p>
    <w:p>
      <w:pPr>
        <w:widowControl w:val="0"/>
        <w:ind w:firstLine="640" w:firstLineChars="200"/>
        <w:rPr>
          <w:rFonts w:hint="default" w:ascii="仿宋" w:hAnsi="仿宋" w:eastAsia="仿宋" w:cs="仿宋"/>
          <w:sz w:val="32"/>
          <w:szCs w:val="32"/>
          <w:lang w:val="en-US" w:eastAsia="zh-CN"/>
        </w:rPr>
      </w:pPr>
      <w:r>
        <w:rPr>
          <w:rFonts w:hint="eastAsia" w:ascii="仿宋_GB2312" w:hAnsi="仿宋" w:eastAsia="仿宋_GB2312" w:cs="仿宋"/>
          <w:sz w:val="32"/>
          <w:szCs w:val="32"/>
        </w:rPr>
        <w:t>通过查阅项目实施单位的财务账簿，截止到</w:t>
      </w:r>
      <w:r>
        <w:rPr>
          <w:rFonts w:hint="eastAsia" w:ascii="Times New Roman" w:hAnsi="Times New Roman" w:eastAsia="仿宋_GB2312" w:cs="Times New Roman"/>
          <w:sz w:val="32"/>
          <w:szCs w:val="32"/>
        </w:rPr>
        <w:t>2019</w:t>
      </w:r>
      <w:r>
        <w:rPr>
          <w:rFonts w:hint="eastAsia" w:ascii="仿宋_GB2312" w:hAnsi="仿宋" w:eastAsia="仿宋_GB2312" w:cs="仿宋"/>
          <w:sz w:val="32"/>
          <w:szCs w:val="32"/>
        </w:rPr>
        <w:t>年底，</w:t>
      </w:r>
      <w:r>
        <w:rPr>
          <w:rFonts w:hint="eastAsia" w:ascii="Times New Roman" w:hAnsi="Times New Roman" w:eastAsia="仿宋_GB2312" w:cs="Times New Roman"/>
          <w:sz w:val="32"/>
          <w:szCs w:val="32"/>
        </w:rPr>
        <w:t>2019年平陆县圣人涧镇营村村一组至二组道路建设工程项目</w:t>
      </w:r>
      <w:r>
        <w:rPr>
          <w:rFonts w:hint="eastAsia" w:ascii="仿宋_GB2312" w:hAnsi="仿宋" w:eastAsia="仿宋_GB2312" w:cs="仿宋"/>
          <w:sz w:val="32"/>
          <w:szCs w:val="32"/>
        </w:rPr>
        <w:t>到位资金</w:t>
      </w:r>
      <w:r>
        <w:rPr>
          <w:rFonts w:hint="eastAsia" w:ascii="Times New Roman" w:hAnsi="Times New Roman" w:eastAsia="仿宋_GB2312" w:cs="仿宋_GB2312"/>
          <w:sz w:val="32"/>
          <w:szCs w:val="32"/>
          <w:lang w:val="en-US" w:eastAsia="zh-CN"/>
        </w:rPr>
        <w:t>132.12</w:t>
      </w:r>
      <w:r>
        <w:rPr>
          <w:rFonts w:ascii="仿宋_GB2312" w:hAnsi="仿宋" w:eastAsia="仿宋_GB2312" w:cs="仿宋"/>
          <w:sz w:val="32"/>
          <w:szCs w:val="32"/>
        </w:rPr>
        <w:t>万元，</w:t>
      </w:r>
      <w:r>
        <w:rPr>
          <w:rFonts w:hint="eastAsia" w:ascii="仿宋_GB2312" w:hAnsi="仿宋" w:eastAsia="仿宋_GB2312" w:cs="仿宋"/>
          <w:sz w:val="32"/>
          <w:szCs w:val="32"/>
        </w:rPr>
        <w:t>项目支出资金</w:t>
      </w:r>
      <w:r>
        <w:rPr>
          <w:rFonts w:hint="eastAsia" w:ascii="Times New Roman" w:hAnsi="Times New Roman" w:eastAsia="仿宋_GB2312" w:cs="仿宋_GB2312"/>
          <w:sz w:val="32"/>
          <w:szCs w:val="32"/>
          <w:lang w:val="en-US" w:eastAsia="zh-CN"/>
        </w:rPr>
        <w:t>117.08</w:t>
      </w:r>
      <w:r>
        <w:rPr>
          <w:rFonts w:hint="eastAsia" w:ascii="仿宋_GB2312" w:hAnsi="Times New Roman" w:eastAsia="仿宋_GB2312" w:cs="Times New Roman"/>
          <w:sz w:val="32"/>
          <w:szCs w:val="32"/>
        </w:rPr>
        <w:t>万元，</w:t>
      </w:r>
      <w:r>
        <w:rPr>
          <w:rFonts w:hint="eastAsia" w:ascii="仿宋_GB2312" w:hAnsi="仿宋" w:eastAsia="仿宋_GB2312" w:cs="仿宋"/>
          <w:sz w:val="32"/>
          <w:szCs w:val="32"/>
        </w:rPr>
        <w:t>预算执行率为</w:t>
      </w:r>
      <w:r>
        <w:rPr>
          <w:rFonts w:hint="eastAsia" w:ascii="Times New Roman" w:hAnsi="Times New Roman" w:eastAsia="仿宋" w:cs="仿宋"/>
          <w:sz w:val="32"/>
          <w:szCs w:val="32"/>
          <w:lang w:val="en-US" w:eastAsia="zh-CN"/>
        </w:rPr>
        <w:t>88.62</w:t>
      </w:r>
      <w:r>
        <w:rPr>
          <w:rFonts w:hint="eastAsia" w:ascii="仿宋" w:hAnsi="仿宋" w:eastAsia="仿宋" w:cs="仿宋"/>
          <w:sz w:val="32"/>
          <w:szCs w:val="32"/>
        </w:rPr>
        <w:t>%。</w:t>
      </w:r>
      <w:r>
        <w:rPr>
          <w:rFonts w:hint="eastAsia" w:ascii="仿宋" w:hAnsi="仿宋" w:eastAsia="仿宋" w:cs="仿宋"/>
          <w:sz w:val="32"/>
          <w:szCs w:val="32"/>
          <w:lang w:val="en-US" w:eastAsia="zh-CN"/>
        </w:rPr>
        <w:t>资金拨付按照：一、启动施工单位开工建设后，实施单位应向施工单位预付工程款资金的</w:t>
      </w:r>
      <w:r>
        <w:rPr>
          <w:rFonts w:hint="eastAsia" w:ascii="Times New Roman" w:hAnsi="Times New Roman" w:eastAsia="仿宋_GB2312" w:cs="Times New Roman"/>
          <w:sz w:val="32"/>
          <w:szCs w:val="32"/>
          <w:lang w:val="en-US" w:eastAsia="zh-CN"/>
        </w:rPr>
        <w:t>30</w:t>
      </w:r>
      <w:r>
        <w:rPr>
          <w:rFonts w:hint="eastAsia" w:ascii="仿宋" w:hAnsi="仿宋" w:eastAsia="仿宋" w:cs="仿宋"/>
          <w:sz w:val="32"/>
          <w:szCs w:val="32"/>
          <w:lang w:val="en-US" w:eastAsia="zh-CN"/>
        </w:rPr>
        <w:t>%作为工程启动金；二、进度资金报账拨付。经项目实施单位核实，报请主管部门对施工单位承建工程组织中期进度检查，按完成工程量分期报账支付，进度支付额度为工程款</w:t>
      </w:r>
      <w:r>
        <w:rPr>
          <w:rFonts w:hint="eastAsia" w:ascii="Times New Roman" w:hAnsi="Times New Roman" w:eastAsia="仿宋_GB2312" w:cs="Times New Roman"/>
          <w:sz w:val="32"/>
          <w:szCs w:val="32"/>
          <w:lang w:val="en-US" w:eastAsia="zh-CN"/>
        </w:rPr>
        <w:t>40</w:t>
      </w:r>
      <w:r>
        <w:rPr>
          <w:rFonts w:hint="eastAsia" w:ascii="仿宋" w:hAnsi="仿宋" w:eastAsia="仿宋" w:cs="仿宋"/>
          <w:sz w:val="32"/>
          <w:szCs w:val="32"/>
          <w:lang w:val="en-US" w:eastAsia="zh-CN"/>
        </w:rPr>
        <w:t>%；三、验收后资金报账拨付：施工单位工程竣工后，经项目实施单位对施工单位承建工程组织验收合格后，项目实施单位向施工单位支付工程款资金的</w:t>
      </w:r>
      <w:r>
        <w:rPr>
          <w:rFonts w:hint="eastAsia" w:ascii="Times New Roman" w:hAnsi="Times New Roman" w:eastAsia="仿宋_GB2312" w:cs="Times New Roman"/>
          <w:sz w:val="32"/>
          <w:szCs w:val="32"/>
          <w:lang w:val="en-US" w:eastAsia="zh-CN"/>
        </w:rPr>
        <w:t>25</w:t>
      </w:r>
      <w:r>
        <w:rPr>
          <w:rFonts w:hint="eastAsia" w:ascii="仿宋" w:hAnsi="仿宋" w:eastAsia="仿宋" w:cs="仿宋"/>
          <w:sz w:val="32"/>
          <w:szCs w:val="32"/>
          <w:lang w:val="en-US" w:eastAsia="zh-CN"/>
        </w:rPr>
        <w:t>%；四、质量保证金。工程款资金的</w:t>
      </w:r>
      <w:r>
        <w:rPr>
          <w:rFonts w:hint="eastAsia" w:ascii="Times New Roman" w:hAnsi="Times New Roman" w:eastAsia="仿宋_GB2312" w:cs="Times New Roman"/>
          <w:sz w:val="32"/>
          <w:szCs w:val="32"/>
          <w:lang w:val="en-US" w:eastAsia="zh-CN"/>
        </w:rPr>
        <w:t>5</w:t>
      </w:r>
      <w:r>
        <w:rPr>
          <w:rFonts w:hint="eastAsia" w:ascii="仿宋" w:hAnsi="仿宋" w:eastAsia="仿宋" w:cs="仿宋"/>
          <w:sz w:val="32"/>
          <w:szCs w:val="32"/>
          <w:lang w:val="en-US" w:eastAsia="zh-CN"/>
        </w:rPr>
        <w:t>%作为质量保证金，保修期满后，工程正常运行，实施单位向施工单位支付工程款资金</w:t>
      </w:r>
      <w:r>
        <w:rPr>
          <w:rFonts w:hint="eastAsia" w:ascii="Times New Roman" w:hAnsi="Times New Roman" w:eastAsia="仿宋_GB2312" w:cs="Times New Roman"/>
          <w:sz w:val="32"/>
          <w:szCs w:val="32"/>
          <w:lang w:val="en-US" w:eastAsia="zh-CN"/>
        </w:rPr>
        <w:t>5</w:t>
      </w:r>
      <w:r>
        <w:rPr>
          <w:rFonts w:hint="eastAsia" w:ascii="仿宋" w:hAnsi="仿宋" w:eastAsia="仿宋" w:cs="仿宋"/>
          <w:sz w:val="32"/>
          <w:szCs w:val="32"/>
          <w:lang w:val="en-US" w:eastAsia="zh-CN"/>
        </w:rPr>
        <w:t>%的质量保证金。经核实，营村道路建设工程费用总计为</w:t>
      </w:r>
      <w:r>
        <w:rPr>
          <w:rFonts w:hint="eastAsia" w:ascii="Times New Roman" w:hAnsi="Times New Roman" w:eastAsia="仿宋_GB2312" w:cs="Times New Roman"/>
          <w:sz w:val="32"/>
          <w:szCs w:val="32"/>
          <w:lang w:val="en-US" w:eastAsia="zh-CN"/>
        </w:rPr>
        <w:t>132.12</w:t>
      </w:r>
      <w:r>
        <w:rPr>
          <w:rFonts w:hint="eastAsia" w:ascii="仿宋" w:hAnsi="仿宋" w:eastAsia="仿宋" w:cs="仿宋"/>
          <w:sz w:val="32"/>
          <w:szCs w:val="32"/>
          <w:lang w:val="en-US" w:eastAsia="zh-CN"/>
        </w:rPr>
        <w:t>万元，其中，工程款</w:t>
      </w:r>
      <w:r>
        <w:rPr>
          <w:rFonts w:hint="eastAsia" w:ascii="Times New Roman" w:hAnsi="Times New Roman" w:eastAsia="仿宋_GB2312" w:cs="Times New Roman"/>
          <w:sz w:val="32"/>
          <w:szCs w:val="32"/>
          <w:lang w:val="en-US" w:eastAsia="zh-CN"/>
        </w:rPr>
        <w:t>127.4</w:t>
      </w:r>
      <w:r>
        <w:rPr>
          <w:rFonts w:hint="eastAsia" w:ascii="仿宋" w:hAnsi="仿宋" w:eastAsia="仿宋" w:cs="仿宋"/>
          <w:sz w:val="32"/>
          <w:szCs w:val="32"/>
          <w:lang w:val="en-US" w:eastAsia="zh-CN"/>
        </w:rPr>
        <w:t>万元，其他费用</w:t>
      </w:r>
      <w:r>
        <w:rPr>
          <w:rFonts w:hint="eastAsia" w:ascii="Times New Roman" w:hAnsi="Times New Roman" w:eastAsia="仿宋_GB2312" w:cs="Times New Roman"/>
          <w:sz w:val="32"/>
          <w:szCs w:val="32"/>
          <w:lang w:val="en-US" w:eastAsia="zh-CN"/>
        </w:rPr>
        <w:t>4.72</w:t>
      </w:r>
      <w:r>
        <w:rPr>
          <w:rFonts w:hint="eastAsia" w:ascii="仿宋" w:hAnsi="仿宋" w:eastAsia="仿宋" w:cs="仿宋"/>
          <w:sz w:val="32"/>
          <w:szCs w:val="32"/>
          <w:lang w:val="en-US" w:eastAsia="zh-CN"/>
        </w:rPr>
        <w:t>万元。项目截止</w:t>
      </w:r>
      <w:r>
        <w:rPr>
          <w:rFonts w:hint="eastAsia" w:ascii="Times New Roman" w:hAnsi="Times New Roman" w:eastAsia="仿宋_GB2312" w:cs="Times New Roman"/>
          <w:sz w:val="32"/>
          <w:szCs w:val="32"/>
          <w:lang w:val="en-US" w:eastAsia="zh-CN"/>
        </w:rPr>
        <w:t>2019</w:t>
      </w:r>
      <w:r>
        <w:rPr>
          <w:rFonts w:hint="eastAsia" w:ascii="仿宋" w:hAnsi="仿宋" w:eastAsia="仿宋" w:cs="仿宋"/>
          <w:sz w:val="32"/>
          <w:szCs w:val="32"/>
          <w:lang w:val="en-US" w:eastAsia="zh-CN"/>
        </w:rPr>
        <w:t>年</w:t>
      </w:r>
      <w:r>
        <w:rPr>
          <w:rFonts w:hint="eastAsia" w:ascii="Times New Roman" w:hAnsi="Times New Roman" w:eastAsia="仿宋_GB2312" w:cs="Times New Roman"/>
          <w:sz w:val="32"/>
          <w:szCs w:val="32"/>
          <w:lang w:val="en-US" w:eastAsia="zh-CN"/>
        </w:rPr>
        <w:t>12</w:t>
      </w:r>
      <w:r>
        <w:rPr>
          <w:rFonts w:hint="eastAsia" w:ascii="仿宋" w:hAnsi="仿宋" w:eastAsia="仿宋" w:cs="仿宋"/>
          <w:sz w:val="32"/>
          <w:szCs w:val="32"/>
          <w:lang w:val="en-US" w:eastAsia="zh-CN"/>
        </w:rPr>
        <w:t>月</w:t>
      </w:r>
      <w:r>
        <w:rPr>
          <w:rFonts w:hint="eastAsia" w:ascii="Times New Roman" w:hAnsi="Times New Roman" w:eastAsia="仿宋_GB2312" w:cs="Times New Roman"/>
          <w:sz w:val="32"/>
          <w:szCs w:val="32"/>
          <w:lang w:val="en-US" w:eastAsia="zh-CN"/>
        </w:rPr>
        <w:t>31</w:t>
      </w:r>
      <w:r>
        <w:rPr>
          <w:rFonts w:hint="eastAsia" w:ascii="仿宋" w:hAnsi="仿宋" w:eastAsia="仿宋" w:cs="仿宋"/>
          <w:sz w:val="32"/>
          <w:szCs w:val="32"/>
          <w:lang w:val="en-US" w:eastAsia="zh-CN"/>
        </w:rPr>
        <w:t>日，项目实施单位支付工程款</w:t>
      </w:r>
      <w:r>
        <w:rPr>
          <w:rFonts w:hint="eastAsia" w:ascii="Times New Roman" w:hAnsi="Times New Roman" w:eastAsia="仿宋_GB2312" w:cs="Times New Roman"/>
          <w:sz w:val="32"/>
          <w:szCs w:val="32"/>
          <w:lang w:val="en-US" w:eastAsia="zh-CN"/>
        </w:rPr>
        <w:t>114.66</w:t>
      </w:r>
      <w:r>
        <w:rPr>
          <w:rFonts w:hint="eastAsia" w:ascii="仿宋" w:hAnsi="仿宋" w:eastAsia="仿宋" w:cs="仿宋"/>
          <w:sz w:val="32"/>
          <w:szCs w:val="32"/>
          <w:lang w:val="en-US" w:eastAsia="zh-CN"/>
        </w:rPr>
        <w:t>万元，其他费用</w:t>
      </w:r>
      <w:r>
        <w:rPr>
          <w:rFonts w:hint="eastAsia" w:ascii="Times New Roman" w:hAnsi="Times New Roman" w:eastAsia="仿宋_GB2312" w:cs="Times New Roman"/>
          <w:sz w:val="32"/>
          <w:szCs w:val="32"/>
          <w:lang w:val="en-US" w:eastAsia="zh-CN"/>
        </w:rPr>
        <w:t>2.42</w:t>
      </w:r>
      <w:r>
        <w:rPr>
          <w:rFonts w:hint="eastAsia" w:ascii="仿宋" w:hAnsi="仿宋" w:eastAsia="仿宋" w:cs="仿宋"/>
          <w:sz w:val="32"/>
          <w:szCs w:val="32"/>
          <w:lang w:val="en-US" w:eastAsia="zh-CN"/>
        </w:rPr>
        <w:t>万元。工程款未按照资金拨付进行支付。</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根据设置的指标体系中确定的评分标准和评分办法，</w:t>
      </w:r>
      <w:r>
        <w:rPr>
          <w:rFonts w:hint="eastAsia" w:ascii="仿宋_GB2312" w:hAnsi="仿宋" w:eastAsia="仿宋_GB2312" w:cs="仿宋_GB2312"/>
          <w:sz w:val="32"/>
          <w:szCs w:val="32"/>
        </w:rPr>
        <w:t>该项指标扣</w:t>
      </w:r>
      <w:r>
        <w:rPr>
          <w:rFonts w:hint="eastAsia" w:ascii="Times New Roman" w:hAnsi="Times New Roman" w:eastAsia="仿宋_GB2312" w:cs="Times New Roman"/>
          <w:sz w:val="32"/>
          <w:szCs w:val="32"/>
          <w:lang w:val="en-US" w:eastAsia="zh-CN"/>
        </w:rPr>
        <w:t>0.34</w:t>
      </w:r>
      <w:r>
        <w:rPr>
          <w:rFonts w:hint="eastAsia" w:ascii="仿宋_GB2312" w:hAnsi="仿宋" w:eastAsia="仿宋_GB2312" w:cs="仿宋_GB2312"/>
          <w:sz w:val="32"/>
          <w:szCs w:val="32"/>
        </w:rPr>
        <w:t>分，共得分</w:t>
      </w:r>
      <w:r>
        <w:rPr>
          <w:rFonts w:hint="eastAsia" w:ascii="Times New Roman" w:hAnsi="Times New Roman" w:eastAsia="仿宋_GB2312" w:cs="Times New Roman"/>
          <w:sz w:val="32"/>
          <w:szCs w:val="32"/>
          <w:lang w:val="en-US" w:eastAsia="zh-CN"/>
        </w:rPr>
        <w:t>2.66</w:t>
      </w:r>
      <w:r>
        <w:rPr>
          <w:rFonts w:hint="eastAsia" w:ascii="仿宋_GB2312" w:hAnsi="仿宋" w:eastAsia="仿宋_GB2312" w:cs="仿宋_GB2312"/>
          <w:sz w:val="32"/>
          <w:szCs w:val="32"/>
        </w:rPr>
        <w:t>分，得分率为</w:t>
      </w:r>
      <w:r>
        <w:rPr>
          <w:rFonts w:hint="eastAsia" w:ascii="Times New Roman" w:hAnsi="Times New Roman" w:eastAsia="仿宋_GB2312" w:cs="仿宋_GB2312"/>
          <w:sz w:val="32"/>
          <w:szCs w:val="32"/>
          <w:lang w:val="en-US" w:eastAsia="zh-CN"/>
        </w:rPr>
        <w:t>88.67</w:t>
      </w:r>
      <w:r>
        <w:rPr>
          <w:rFonts w:hint="eastAsia" w:ascii="仿宋_GB2312" w:hAnsi="仿宋" w:eastAsia="仿宋_GB2312" w:cs="仿宋_GB2312"/>
          <w:sz w:val="32"/>
          <w:szCs w:val="32"/>
        </w:rPr>
        <w:t>%。</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Times New Roman" w:hAnsi="Times New Roman" w:eastAsia="仿宋_GB2312" w:cs="仿宋"/>
          <w:sz w:val="32"/>
          <w:szCs w:val="32"/>
        </w:rPr>
        <w:t>3</w:t>
      </w:r>
      <w:r>
        <w:rPr>
          <w:rFonts w:hint="eastAsia" w:ascii="仿宋_GB2312" w:hAnsi="仿宋" w:eastAsia="仿宋_GB2312" w:cs="仿宋"/>
          <w:sz w:val="32"/>
          <w:szCs w:val="32"/>
        </w:rPr>
        <w:t>）</w:t>
      </w:r>
      <w:r>
        <w:rPr>
          <w:rFonts w:hint="eastAsia" w:ascii="Times New Roman" w:hAnsi="Times New Roman" w:eastAsia="仿宋_GB2312" w:cs="仿宋"/>
          <w:sz w:val="32"/>
          <w:szCs w:val="32"/>
        </w:rPr>
        <w:t>B13</w:t>
      </w:r>
      <w:r>
        <w:rPr>
          <w:rFonts w:hint="eastAsia" w:ascii="仿宋_GB2312" w:hAnsi="仿宋" w:eastAsia="仿宋_GB2312" w:cs="仿宋"/>
          <w:sz w:val="32"/>
          <w:szCs w:val="32"/>
        </w:rPr>
        <w:t>资金使用合规性（</w:t>
      </w:r>
      <w:r>
        <w:rPr>
          <w:rFonts w:hint="eastAsia" w:ascii="Times New Roman" w:hAnsi="Times New Roman" w:eastAsia="仿宋_GB2312" w:cs="Times New Roman"/>
          <w:sz w:val="32"/>
          <w:szCs w:val="32"/>
        </w:rPr>
        <w:t>5</w:t>
      </w:r>
      <w:r>
        <w:rPr>
          <w:rFonts w:hint="eastAsia" w:ascii="仿宋_GB2312" w:hAnsi="仿宋" w:eastAsia="仿宋_GB2312" w:cs="仿宋"/>
          <w:sz w:val="32"/>
          <w:szCs w:val="32"/>
        </w:rPr>
        <w:t>分）。本指标主要考察项目资金使用是否符合相关的财务管理制度规定，用以反映和考核项目资金的规范运行情况。</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通过对项目实施单位财务资料的现场核实，项目实施单位资金使用符合相关财务管理制度；</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项目</w:t>
      </w:r>
      <w:r>
        <w:rPr>
          <w:rFonts w:hint="eastAsia" w:ascii="仿宋_GB2312" w:hAnsi="仿宋" w:eastAsia="仿宋_GB2312" w:cs="Times New Roman"/>
          <w:sz w:val="32"/>
          <w:szCs w:val="32"/>
        </w:rPr>
        <w:t>实施单位</w:t>
      </w:r>
      <w:r>
        <w:rPr>
          <w:rFonts w:hint="eastAsia" w:ascii="仿宋_GB2312" w:hAnsi="仿宋_GB2312" w:eastAsia="仿宋_GB2312" w:cs="仿宋_GB2312"/>
          <w:sz w:val="32"/>
          <w:szCs w:val="32"/>
        </w:rPr>
        <w:t>进行资金申请，先将工程进度付款申请单、工程进度付款证书等相关资料报县财政局进行审核，审核通过后将资金支付审批单等提交平陆县圣人涧镇人民政府财务科，财务科审核后，通过国库集中支付将资金拨付给施工</w:t>
      </w:r>
      <w:r>
        <w:rPr>
          <w:rFonts w:hint="eastAsia" w:ascii="仿宋_GB2312" w:hAnsi="仿宋" w:eastAsia="仿宋_GB2312" w:cs="Times New Roman"/>
          <w:sz w:val="32"/>
          <w:szCs w:val="32"/>
        </w:rPr>
        <w:t>单位，资金拨付</w:t>
      </w:r>
      <w:r>
        <w:rPr>
          <w:rFonts w:hint="eastAsia" w:ascii="仿宋_GB2312" w:hAnsi="仿宋" w:eastAsia="仿宋_GB2312" w:cs="仿宋"/>
          <w:sz w:val="32"/>
          <w:szCs w:val="32"/>
        </w:rPr>
        <w:t>有完整的审批、拨付手续；支出资金符合预算批复要求，未发现截留、挤占、挪用、虚列支出等情况。</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根据设置的指标体系中确定的评分标准和评分办法，该项指标得分</w:t>
      </w:r>
      <w:r>
        <w:rPr>
          <w:rFonts w:hint="eastAsia" w:ascii="Times New Roman" w:hAnsi="Times New Roman" w:eastAsia="仿宋_GB2312" w:cs="仿宋"/>
          <w:sz w:val="32"/>
          <w:szCs w:val="32"/>
        </w:rPr>
        <w:t>5</w:t>
      </w:r>
      <w:r>
        <w:rPr>
          <w:rFonts w:hint="eastAsia" w:ascii="仿宋_GB2312" w:hAnsi="仿宋" w:eastAsia="仿宋_GB2312" w:cs="仿宋"/>
          <w:sz w:val="32"/>
          <w:szCs w:val="32"/>
        </w:rPr>
        <w:t>分，得分率为</w:t>
      </w:r>
      <w:r>
        <w:rPr>
          <w:rFonts w:hint="eastAsia" w:ascii="Times New Roman" w:hAnsi="Times New Roman" w:eastAsia="仿宋_GB2312" w:cs="仿宋"/>
          <w:sz w:val="32"/>
          <w:szCs w:val="32"/>
        </w:rPr>
        <w:t>100</w:t>
      </w:r>
      <w:r>
        <w:rPr>
          <w:rFonts w:hint="eastAsia" w:ascii="仿宋_GB2312" w:hAnsi="仿宋" w:eastAsia="仿宋_GB2312" w:cs="仿宋"/>
          <w:sz w:val="32"/>
          <w:szCs w:val="32"/>
        </w:rPr>
        <w:t>%。</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Times New Roman" w:hAnsi="Times New Roman" w:eastAsia="仿宋_GB2312" w:cs="仿宋"/>
          <w:sz w:val="32"/>
          <w:szCs w:val="32"/>
        </w:rPr>
        <w:t>4</w:t>
      </w:r>
      <w:r>
        <w:rPr>
          <w:rFonts w:hint="eastAsia" w:ascii="仿宋_GB2312" w:hAnsi="仿宋" w:eastAsia="仿宋_GB2312" w:cs="仿宋"/>
          <w:sz w:val="32"/>
          <w:szCs w:val="32"/>
        </w:rPr>
        <w:t>）</w:t>
      </w:r>
      <w:r>
        <w:rPr>
          <w:rFonts w:hint="eastAsia" w:ascii="Times New Roman" w:hAnsi="Times New Roman" w:eastAsia="仿宋_GB2312" w:cs="仿宋"/>
          <w:sz w:val="32"/>
          <w:szCs w:val="32"/>
        </w:rPr>
        <w:t>B21</w:t>
      </w:r>
      <w:r>
        <w:rPr>
          <w:rFonts w:hint="eastAsia" w:ascii="仿宋_GB2312" w:hAnsi="仿宋" w:eastAsia="仿宋_GB2312" w:cs="仿宋"/>
          <w:sz w:val="32"/>
          <w:szCs w:val="32"/>
        </w:rPr>
        <w:t>管理制度健全性（</w:t>
      </w:r>
      <w:r>
        <w:rPr>
          <w:rFonts w:hint="eastAsia" w:ascii="Times New Roman" w:hAnsi="Times New Roman" w:eastAsia="仿宋_GB2312" w:cs="仿宋"/>
          <w:sz w:val="32"/>
          <w:szCs w:val="32"/>
        </w:rPr>
        <w:t>2</w:t>
      </w:r>
      <w:r>
        <w:rPr>
          <w:rFonts w:hint="eastAsia" w:ascii="仿宋_GB2312" w:hAnsi="仿宋" w:eastAsia="仿宋_GB2312" w:cs="仿宋"/>
          <w:sz w:val="32"/>
          <w:szCs w:val="32"/>
        </w:rPr>
        <w:t>分）。本指标主要考察项目主管部门的财务和业务管理制度是否健全，用以反映和考核财务和业务管理制度对项目顺利实施的保障情况。</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评价组通过对项目实施单位提供的资料进行整理和分析，结合现场核实情况，了解到项目实施单位制定了财务管理制度</w:t>
      </w:r>
      <w:r>
        <w:rPr>
          <w:rFonts w:hint="eastAsia" w:ascii="仿宋_GB2312" w:hAnsi="仿宋" w:eastAsia="仿宋_GB2312" w:cs="仿宋"/>
          <w:sz w:val="32"/>
          <w:szCs w:val="32"/>
          <w:lang w:val="en-US" w:eastAsia="zh-CN"/>
        </w:rPr>
        <w:t>和资金管理制度</w:t>
      </w:r>
      <w:r>
        <w:rPr>
          <w:rFonts w:hint="eastAsia" w:ascii="仿宋_GB2312" w:hAnsi="仿宋" w:eastAsia="仿宋_GB2312" w:cs="仿宋"/>
          <w:sz w:val="32"/>
          <w:szCs w:val="32"/>
        </w:rPr>
        <w:t>，且制度较为完整</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项目实施单位在项目实施过程中，</w:t>
      </w:r>
      <w:r>
        <w:rPr>
          <w:rFonts w:hint="eastAsia" w:ascii="仿宋_GB2312" w:hAnsi="仿宋" w:eastAsia="仿宋_GB2312" w:cs="仿宋"/>
          <w:sz w:val="32"/>
          <w:szCs w:val="32"/>
          <w:lang w:val="en-US" w:eastAsia="zh-CN"/>
        </w:rPr>
        <w:t>制定了项目监理制度、项目合同管理制度、项目绩效评价制度、项目公告公示制度、项目管理法人制度、项目招标投标制度和安全生产责任制等相关业务管理制度，但</w:t>
      </w:r>
      <w:r>
        <w:rPr>
          <w:rFonts w:hint="eastAsia" w:ascii="仿宋_GB2312" w:hAnsi="仿宋" w:eastAsia="仿宋_GB2312" w:cs="仿宋"/>
          <w:sz w:val="32"/>
          <w:szCs w:val="32"/>
        </w:rPr>
        <w:t>未制定后期运维管理制度，不利于</w:t>
      </w:r>
      <w:r>
        <w:rPr>
          <w:rFonts w:hint="eastAsia" w:ascii="仿宋_GB2312" w:hAnsi="仿宋" w:eastAsia="仿宋_GB2312" w:cs="仿宋"/>
          <w:sz w:val="32"/>
          <w:szCs w:val="32"/>
          <w:lang w:val="en-US" w:eastAsia="zh-CN"/>
        </w:rPr>
        <w:t>质控</w:t>
      </w:r>
      <w:r>
        <w:rPr>
          <w:rFonts w:hint="eastAsia" w:ascii="仿宋_GB2312" w:hAnsi="仿宋" w:eastAsia="仿宋_GB2312" w:cs="仿宋"/>
          <w:sz w:val="32"/>
          <w:szCs w:val="32"/>
        </w:rPr>
        <w:t>考核</w:t>
      </w:r>
      <w:r>
        <w:rPr>
          <w:rFonts w:hint="eastAsia" w:ascii="仿宋_GB2312" w:hAnsi="仿宋" w:eastAsia="仿宋_GB2312" w:cs="仿宋"/>
          <w:sz w:val="32"/>
          <w:szCs w:val="32"/>
          <w:lang w:val="en-US" w:eastAsia="zh-CN"/>
        </w:rPr>
        <w:t>和评价</w:t>
      </w:r>
      <w:r>
        <w:rPr>
          <w:rFonts w:hint="eastAsia" w:ascii="仿宋_GB2312" w:hAnsi="仿宋" w:eastAsia="仿宋_GB2312" w:cs="仿宋"/>
          <w:sz w:val="32"/>
          <w:szCs w:val="32"/>
        </w:rPr>
        <w:t>。</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根据设置的指标体系中确定的评分标准和评分办法，</w:t>
      </w:r>
      <w:r>
        <w:rPr>
          <w:rFonts w:hint="eastAsia" w:ascii="仿宋_GB2312" w:hAnsi="仿宋" w:eastAsia="仿宋_GB2312" w:cs="仿宋_GB2312"/>
          <w:sz w:val="32"/>
          <w:szCs w:val="32"/>
        </w:rPr>
        <w:t>该项指标扣</w:t>
      </w:r>
      <w:r>
        <w:rPr>
          <w:rFonts w:hint="eastAsia" w:ascii="Times New Roman" w:hAnsi="Times New Roman" w:eastAsia="仿宋_GB2312" w:cs="仿宋_GB2312"/>
          <w:sz w:val="32"/>
          <w:szCs w:val="32"/>
        </w:rPr>
        <w:t>1</w:t>
      </w:r>
      <w:r>
        <w:rPr>
          <w:rFonts w:hint="eastAsia" w:ascii="仿宋_GB2312" w:hAnsi="仿宋" w:eastAsia="仿宋_GB2312" w:cs="仿宋_GB2312"/>
          <w:sz w:val="32"/>
          <w:szCs w:val="32"/>
        </w:rPr>
        <w:t>分，共得分</w:t>
      </w:r>
      <w:r>
        <w:rPr>
          <w:rFonts w:hint="eastAsia" w:ascii="Times New Roman" w:hAnsi="Times New Roman" w:eastAsia="仿宋_GB2312" w:cs="仿宋_GB2312"/>
          <w:sz w:val="32"/>
          <w:szCs w:val="32"/>
        </w:rPr>
        <w:t>1</w:t>
      </w:r>
      <w:r>
        <w:rPr>
          <w:rFonts w:hint="eastAsia" w:ascii="仿宋_GB2312" w:hAnsi="仿宋" w:eastAsia="仿宋_GB2312" w:cs="仿宋_GB2312"/>
          <w:sz w:val="32"/>
          <w:szCs w:val="32"/>
        </w:rPr>
        <w:t>分，得分率为</w:t>
      </w:r>
      <w:r>
        <w:rPr>
          <w:rFonts w:hint="eastAsia" w:ascii="Times New Roman" w:hAnsi="Times New Roman" w:eastAsia="仿宋_GB2312" w:cs="仿宋_GB2312"/>
          <w:sz w:val="32"/>
          <w:szCs w:val="32"/>
        </w:rPr>
        <w:t>50</w:t>
      </w:r>
      <w:r>
        <w:rPr>
          <w:rFonts w:hint="eastAsia" w:ascii="仿宋_GB2312" w:hAnsi="仿宋" w:eastAsia="仿宋_GB2312" w:cs="仿宋_GB2312"/>
          <w:sz w:val="32"/>
          <w:szCs w:val="32"/>
        </w:rPr>
        <w:t>%。</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Times New Roman" w:hAnsi="Times New Roman" w:eastAsia="仿宋_GB2312" w:cs="仿宋"/>
          <w:sz w:val="32"/>
          <w:szCs w:val="32"/>
        </w:rPr>
        <w:t>5</w:t>
      </w:r>
      <w:r>
        <w:rPr>
          <w:rFonts w:hint="eastAsia" w:ascii="仿宋_GB2312" w:hAnsi="仿宋" w:eastAsia="仿宋_GB2312" w:cs="仿宋"/>
          <w:sz w:val="32"/>
          <w:szCs w:val="32"/>
        </w:rPr>
        <w:t>）</w:t>
      </w:r>
      <w:r>
        <w:rPr>
          <w:rFonts w:hint="eastAsia" w:ascii="Times New Roman" w:hAnsi="Times New Roman" w:eastAsia="仿宋_GB2312" w:cs="仿宋"/>
          <w:sz w:val="32"/>
          <w:szCs w:val="32"/>
        </w:rPr>
        <w:t>B22</w:t>
      </w:r>
      <w:r>
        <w:rPr>
          <w:rFonts w:hint="eastAsia" w:ascii="仿宋_GB2312" w:hAnsi="仿宋" w:eastAsia="仿宋_GB2312" w:cs="仿宋"/>
          <w:sz w:val="32"/>
          <w:szCs w:val="32"/>
        </w:rPr>
        <w:t>制度执行有效性（</w:t>
      </w:r>
      <w:r>
        <w:rPr>
          <w:rFonts w:hint="eastAsia" w:ascii="Times New Roman" w:hAnsi="Times New Roman" w:eastAsia="仿宋_GB2312" w:cs="仿宋"/>
          <w:sz w:val="32"/>
          <w:szCs w:val="32"/>
        </w:rPr>
        <w:t>4</w:t>
      </w:r>
      <w:r>
        <w:rPr>
          <w:rFonts w:hint="eastAsia" w:ascii="仿宋_GB2312" w:hAnsi="仿宋" w:eastAsia="仿宋_GB2312" w:cs="仿宋"/>
          <w:sz w:val="32"/>
          <w:szCs w:val="32"/>
        </w:rPr>
        <w:t>分）。本指标主要考察项目实施是否符合相关管理规定，用以反映和考核相关管理制度的有效执行情况。</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通过查阅相关资料及现场核实，了解到</w:t>
      </w:r>
      <w:r>
        <w:rPr>
          <w:rFonts w:hint="eastAsia" w:ascii="仿宋_GB2312" w:hAnsi="仿宋" w:eastAsia="仿宋_GB2312" w:cs="仿宋_GB2312"/>
          <w:sz w:val="32"/>
          <w:szCs w:val="32"/>
        </w:rPr>
        <w:t>项目实施单位按照现有的相关制度严格执行；</w:t>
      </w:r>
      <w:r>
        <w:rPr>
          <w:rFonts w:hint="eastAsia" w:ascii="仿宋_GB2312" w:hAnsi="仿宋" w:eastAsia="仿宋_GB2312" w:cs="仿宋"/>
          <w:sz w:val="32"/>
          <w:szCs w:val="32"/>
        </w:rPr>
        <w:t>项目支出手续完备，项目合同、验收报告、</w:t>
      </w:r>
      <w:r>
        <w:rPr>
          <w:rFonts w:hint="eastAsia" w:ascii="仿宋_GB2312" w:hAnsi="仿宋" w:eastAsia="仿宋_GB2312" w:cs="仿宋"/>
          <w:sz w:val="32"/>
          <w:szCs w:val="32"/>
          <w:lang w:val="en-US" w:eastAsia="zh-CN"/>
        </w:rPr>
        <w:t>工程</w:t>
      </w:r>
      <w:r>
        <w:rPr>
          <w:rFonts w:hint="eastAsia" w:ascii="仿宋_GB2312" w:hAnsi="仿宋" w:eastAsia="仿宋_GB2312" w:cs="仿宋"/>
          <w:sz w:val="32"/>
          <w:szCs w:val="32"/>
        </w:rPr>
        <w:t>结算审核报告等资料齐全并及时归档。但由于相关的业务制度不够健全，其执行有效性无法判断。</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根据设置的指标体系中确定的评分标准和评分办法，</w:t>
      </w:r>
      <w:r>
        <w:rPr>
          <w:rFonts w:hint="eastAsia" w:ascii="仿宋_GB2312" w:hAnsi="仿宋" w:eastAsia="仿宋_GB2312" w:cs="仿宋_GB2312"/>
          <w:sz w:val="32"/>
          <w:szCs w:val="32"/>
        </w:rPr>
        <w:t>该项指标扣</w:t>
      </w:r>
      <w:r>
        <w:rPr>
          <w:rFonts w:hint="eastAsia" w:ascii="Times New Roman" w:hAnsi="Times New Roman" w:eastAsia="仿宋_GB2312" w:cs="仿宋_GB2312"/>
          <w:sz w:val="32"/>
          <w:szCs w:val="32"/>
        </w:rPr>
        <w:t>2</w:t>
      </w:r>
      <w:r>
        <w:rPr>
          <w:rFonts w:hint="eastAsia" w:ascii="仿宋_GB2312" w:hAnsi="仿宋" w:eastAsia="仿宋_GB2312" w:cs="仿宋_GB2312"/>
          <w:sz w:val="32"/>
          <w:szCs w:val="32"/>
        </w:rPr>
        <w:t>分，得</w:t>
      </w:r>
      <w:r>
        <w:rPr>
          <w:rFonts w:hint="eastAsia" w:ascii="Times New Roman" w:hAnsi="Times New Roman" w:eastAsia="仿宋_GB2312" w:cs="仿宋_GB2312"/>
          <w:sz w:val="32"/>
          <w:szCs w:val="32"/>
        </w:rPr>
        <w:t>2</w:t>
      </w:r>
      <w:r>
        <w:rPr>
          <w:rFonts w:hint="eastAsia" w:ascii="仿宋_GB2312" w:hAnsi="仿宋" w:eastAsia="仿宋_GB2312" w:cs="仿宋_GB2312"/>
          <w:sz w:val="32"/>
          <w:szCs w:val="32"/>
        </w:rPr>
        <w:t>分，得分率为</w:t>
      </w:r>
      <w:r>
        <w:rPr>
          <w:rFonts w:hint="eastAsia" w:ascii="Times New Roman" w:hAnsi="Times New Roman" w:eastAsia="仿宋_GB2312" w:cs="仿宋_GB2312"/>
          <w:sz w:val="32"/>
          <w:szCs w:val="32"/>
        </w:rPr>
        <w:t>50</w:t>
      </w:r>
      <w:r>
        <w:rPr>
          <w:rFonts w:hint="eastAsia" w:ascii="仿宋_GB2312" w:hAnsi="仿宋" w:eastAsia="仿宋_GB2312" w:cs="仿宋_GB2312"/>
          <w:sz w:val="32"/>
          <w:szCs w:val="32"/>
        </w:rPr>
        <w:t>%。</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Times New Roman" w:hAnsi="Times New Roman" w:eastAsia="仿宋_GB2312" w:cs="仿宋"/>
          <w:sz w:val="32"/>
          <w:szCs w:val="32"/>
        </w:rPr>
        <w:t>6</w:t>
      </w:r>
      <w:r>
        <w:rPr>
          <w:rFonts w:hint="eastAsia" w:ascii="仿宋_GB2312" w:hAnsi="仿宋" w:eastAsia="仿宋_GB2312" w:cs="仿宋"/>
          <w:sz w:val="32"/>
          <w:szCs w:val="32"/>
        </w:rPr>
        <w:t>）</w:t>
      </w:r>
      <w:r>
        <w:rPr>
          <w:rFonts w:hint="eastAsia" w:ascii="Times New Roman" w:hAnsi="Times New Roman" w:eastAsia="仿宋_GB2312" w:cs="仿宋"/>
          <w:sz w:val="32"/>
          <w:szCs w:val="32"/>
        </w:rPr>
        <w:t>B23</w:t>
      </w:r>
      <w:r>
        <w:rPr>
          <w:rFonts w:hint="eastAsia" w:ascii="仿宋_GB2312" w:hAnsi="仿宋" w:eastAsia="仿宋_GB2312" w:cs="仿宋"/>
          <w:sz w:val="32"/>
          <w:szCs w:val="32"/>
        </w:rPr>
        <w:t>项目监控规范性（</w:t>
      </w:r>
      <w:r>
        <w:rPr>
          <w:rFonts w:hint="eastAsia" w:ascii="Times New Roman" w:hAnsi="Times New Roman" w:eastAsia="仿宋_GB2312" w:cs="仿宋"/>
          <w:sz w:val="32"/>
          <w:szCs w:val="32"/>
        </w:rPr>
        <w:t>4</w:t>
      </w:r>
      <w:r>
        <w:rPr>
          <w:rFonts w:hint="eastAsia" w:ascii="仿宋_GB2312" w:hAnsi="仿宋" w:eastAsia="仿宋_GB2312" w:cs="仿宋"/>
          <w:sz w:val="32"/>
          <w:szCs w:val="32"/>
        </w:rPr>
        <w:t>分）。本指标主要考察项目实施单位对项目建设或方案实施的检查、监控、督促和资金的安全、规范运行等管理情况是否采取了必要的监控措施，用以反映和考核项目实施单位对项目质量和资金运行的控制情况。</w:t>
      </w:r>
    </w:p>
    <w:p>
      <w:pPr>
        <w:widowControl w:val="0"/>
        <w:ind w:firstLine="640" w:firstLineChars="200"/>
        <w:jc w:val="left"/>
        <w:rPr>
          <w:rFonts w:ascii="仿宋_GB2312" w:hAnsi="Times New Roman" w:eastAsia="仿宋_GB2312" w:cs="仿宋"/>
          <w:sz w:val="32"/>
          <w:szCs w:val="32"/>
        </w:rPr>
      </w:pPr>
      <w:r>
        <w:rPr>
          <w:rFonts w:hint="eastAsia" w:ascii="仿宋_GB2312" w:hAnsi="仿宋" w:eastAsia="仿宋_GB2312" w:cs="仿宋_GB2312"/>
          <w:sz w:val="32"/>
          <w:szCs w:val="32"/>
        </w:rPr>
        <w:t>通过对项目实施单位所提供资料的研读及现场核实，</w:t>
      </w:r>
      <w:r>
        <w:rPr>
          <w:rFonts w:hint="eastAsia" w:ascii="仿宋_GB2312" w:hAnsi="仿宋" w:eastAsia="仿宋_GB2312" w:cs="仿宋"/>
          <w:sz w:val="32"/>
          <w:szCs w:val="32"/>
        </w:rPr>
        <w:t>了解到</w:t>
      </w:r>
      <w:r>
        <w:rPr>
          <w:rFonts w:hint="eastAsia" w:ascii="仿宋_GB2312" w:hAnsi="仿宋" w:eastAsia="仿宋_GB2312" w:cs="仿宋_GB2312"/>
          <w:sz w:val="32"/>
          <w:szCs w:val="32"/>
        </w:rPr>
        <w:t>在项目实施过程中，项目实施单位严格把控项目质量，从监理、决算审核等各项过程中对项目质量进行监控、检查；在项目建设完工后，</w:t>
      </w:r>
      <w:r>
        <w:rPr>
          <w:rFonts w:hint="eastAsia" w:ascii="仿宋_GB2312" w:hAnsi="仿宋_GB2312" w:eastAsia="仿宋_GB2312" w:cs="仿宋_GB2312"/>
          <w:sz w:val="32"/>
          <w:szCs w:val="32"/>
        </w:rPr>
        <w:t>先由施工单位自检，监理单位抽检，然后于</w:t>
      </w:r>
      <w:r>
        <w:rPr>
          <w:rFonts w:hint="eastAsia" w:ascii="Times New Roman" w:hAnsi="Times New Roman" w:eastAsia="仿宋_GB2312" w:cs="仿宋_GB2312"/>
          <w:sz w:val="32"/>
          <w:szCs w:val="32"/>
        </w:rPr>
        <w:t>2019</w:t>
      </w:r>
      <w:r>
        <w:rPr>
          <w:rFonts w:hint="eastAsia" w:ascii="仿宋_GB2312" w:hAnsi="仿宋_GB2312" w:eastAsia="仿宋_GB2312" w:cs="仿宋_GB2312"/>
          <w:sz w:val="32"/>
          <w:szCs w:val="32"/>
        </w:rPr>
        <w:t>年</w:t>
      </w:r>
      <w:r>
        <w:rPr>
          <w:rFonts w:hint="eastAsia" w:ascii="Times New Roman" w:hAnsi="Times New Roman" w:eastAsia="仿宋_GB2312" w:cs="仿宋_GB2312"/>
          <w:sz w:val="32"/>
          <w:szCs w:val="32"/>
        </w:rPr>
        <w:t>12</w:t>
      </w:r>
      <w:r>
        <w:rPr>
          <w:rFonts w:hint="eastAsia" w:ascii="仿宋_GB2312" w:hAnsi="仿宋_GB2312" w:eastAsia="仿宋_GB2312" w:cs="仿宋_GB2312"/>
          <w:sz w:val="32"/>
          <w:szCs w:val="32"/>
        </w:rPr>
        <w:t>月</w:t>
      </w:r>
      <w:r>
        <w:rPr>
          <w:rFonts w:hint="eastAsia" w:ascii="Times New Roman" w:hAnsi="Times New Roman" w:eastAsia="仿宋_GB2312" w:cs="仿宋_GB2312"/>
          <w:sz w:val="32"/>
          <w:szCs w:val="32"/>
        </w:rPr>
        <w:t>22</w:t>
      </w:r>
      <w:r>
        <w:rPr>
          <w:rFonts w:hint="eastAsia" w:ascii="仿宋_GB2312" w:hAnsi="仿宋_GB2312" w:eastAsia="仿宋_GB2312" w:cs="仿宋_GB2312"/>
          <w:sz w:val="32"/>
          <w:szCs w:val="32"/>
        </w:rPr>
        <w:t>日，由平陆县圣人涧镇人民政府组织，同监理单位（河南中建工程技术有限公司）、设计单位（三门峡市海地公路勘察设计有限公司）和施工单位（平陆县建筑工程公司）共同验收，出具竣工验收报告</w:t>
      </w:r>
      <w:r>
        <w:rPr>
          <w:rFonts w:hint="eastAsia" w:ascii="仿宋" w:hAnsi="仿宋" w:eastAsia="仿宋_GB2312"/>
          <w:bCs/>
          <w:sz w:val="32"/>
          <w:szCs w:val="32"/>
        </w:rPr>
        <w:t>。</w:t>
      </w:r>
    </w:p>
    <w:p>
      <w:pPr>
        <w:widowControl w:val="0"/>
        <w:ind w:firstLine="640" w:firstLineChars="200"/>
        <w:rPr>
          <w:rFonts w:ascii="楷体" w:hAnsi="楷体" w:eastAsia="楷体" w:cs="Times New Roman"/>
          <w:bCs/>
          <w:sz w:val="32"/>
          <w:szCs w:val="32"/>
        </w:rPr>
      </w:pPr>
      <w:r>
        <w:rPr>
          <w:rFonts w:hint="eastAsia" w:ascii="仿宋_GB2312" w:hAnsi="仿宋" w:eastAsia="仿宋_GB2312" w:cs="仿宋"/>
          <w:sz w:val="32"/>
          <w:szCs w:val="32"/>
        </w:rPr>
        <w:t>根据设置的指标体系中确定的评分标准和评分办法，</w:t>
      </w:r>
      <w:r>
        <w:rPr>
          <w:rFonts w:hint="eastAsia" w:ascii="仿宋_GB2312" w:hAnsi="仿宋" w:eastAsia="仿宋_GB2312" w:cs="仿宋_GB2312"/>
          <w:sz w:val="32"/>
          <w:szCs w:val="32"/>
        </w:rPr>
        <w:t>该项指标不扣分，得</w:t>
      </w:r>
      <w:r>
        <w:rPr>
          <w:rFonts w:hint="eastAsia" w:ascii="Times New Roman" w:hAnsi="Times New Roman" w:eastAsia="仿宋_GB2312" w:cs="仿宋_GB2312"/>
          <w:sz w:val="32"/>
          <w:szCs w:val="32"/>
        </w:rPr>
        <w:t>4</w:t>
      </w:r>
      <w:r>
        <w:rPr>
          <w:rFonts w:hint="eastAsia" w:ascii="仿宋_GB2312" w:hAnsi="仿宋" w:eastAsia="仿宋_GB2312" w:cs="仿宋_GB2312"/>
          <w:sz w:val="32"/>
          <w:szCs w:val="32"/>
        </w:rPr>
        <w:t>分，得分率为</w:t>
      </w:r>
      <w:r>
        <w:rPr>
          <w:rFonts w:hint="eastAsia" w:ascii="Times New Roman" w:hAnsi="Times New Roman" w:eastAsia="仿宋_GB2312" w:cs="仿宋_GB2312"/>
          <w:sz w:val="32"/>
          <w:szCs w:val="32"/>
        </w:rPr>
        <w:t>100</w:t>
      </w:r>
      <w:r>
        <w:rPr>
          <w:rFonts w:hint="eastAsia" w:ascii="仿宋_GB2312" w:hAnsi="仿宋" w:eastAsia="仿宋_GB2312" w:cs="仿宋_GB2312"/>
          <w:sz w:val="32"/>
          <w:szCs w:val="32"/>
        </w:rPr>
        <w:t>%。</w:t>
      </w:r>
    </w:p>
    <w:p>
      <w:pPr>
        <w:widowControl w:val="0"/>
        <w:ind w:firstLine="640" w:firstLineChars="200"/>
        <w:outlineLvl w:val="1"/>
        <w:rPr>
          <w:rFonts w:ascii="楷体" w:hAnsi="楷体" w:eastAsia="楷体" w:cs="Times New Roman"/>
          <w:bCs/>
          <w:sz w:val="32"/>
          <w:szCs w:val="32"/>
        </w:rPr>
      </w:pPr>
      <w:bookmarkStart w:id="57" w:name="_Toc23094"/>
      <w:r>
        <w:rPr>
          <w:rFonts w:hint="eastAsia" w:ascii="楷体" w:hAnsi="楷体" w:eastAsia="楷体" w:cs="Times New Roman"/>
          <w:bCs/>
          <w:sz w:val="32"/>
          <w:szCs w:val="32"/>
        </w:rPr>
        <w:t>（三）产出类指标分析</w:t>
      </w:r>
      <w:bookmarkEnd w:id="57"/>
    </w:p>
    <w:p>
      <w:pPr>
        <w:widowControl w:val="0"/>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产出类指标主要从产出数量、产出质量、产出时效和产出成本四个方面对项目产出情况进行评价，共设置</w:t>
      </w:r>
      <w:r>
        <w:rPr>
          <w:rFonts w:hint="eastAsia" w:ascii="Times New Roman" w:hAnsi="Times New Roman" w:eastAsia="仿宋_GB2312" w:cs="Times New Roman"/>
          <w:sz w:val="32"/>
          <w:szCs w:val="32"/>
        </w:rPr>
        <w:t>5</w:t>
      </w:r>
      <w:r>
        <w:rPr>
          <w:rFonts w:hint="eastAsia" w:ascii="仿宋_GB2312" w:hAnsi="仿宋" w:eastAsia="仿宋_GB2312" w:cs="Times New Roman"/>
          <w:sz w:val="32"/>
          <w:szCs w:val="32"/>
        </w:rPr>
        <w:t>个三级指标。产出类指标权重分</w:t>
      </w:r>
      <w:r>
        <w:rPr>
          <w:rFonts w:hint="eastAsia" w:ascii="Times New Roman" w:hAnsi="Times New Roman" w:eastAsia="仿宋_GB2312" w:cs="Times New Roman"/>
          <w:sz w:val="32"/>
          <w:szCs w:val="32"/>
        </w:rPr>
        <w:t>30</w:t>
      </w:r>
      <w:r>
        <w:rPr>
          <w:rFonts w:hint="eastAsia" w:ascii="仿宋_GB2312" w:hAnsi="仿宋" w:eastAsia="仿宋_GB2312" w:cs="Times New Roman"/>
          <w:sz w:val="32"/>
          <w:szCs w:val="32"/>
        </w:rPr>
        <w:t>分，</w:t>
      </w:r>
      <w:r>
        <w:rPr>
          <w:rFonts w:hint="eastAsia" w:ascii="仿宋_GB2312" w:hAnsi="仿宋" w:eastAsia="仿宋_GB2312" w:cs="Times New Roman"/>
          <w:sz w:val="32"/>
          <w:szCs w:val="32"/>
          <w:highlight w:val="none"/>
        </w:rPr>
        <w:t>评价得分</w:t>
      </w:r>
      <w:r>
        <w:rPr>
          <w:rFonts w:hint="eastAsia" w:ascii="Times New Roman" w:hAnsi="Times New Roman" w:eastAsia="仿宋_GB2312" w:cs="Times New Roman"/>
          <w:sz w:val="32"/>
          <w:szCs w:val="32"/>
          <w:highlight w:val="none"/>
          <w:lang w:val="en-US" w:eastAsia="zh-CN"/>
        </w:rPr>
        <w:t>30</w:t>
      </w:r>
      <w:r>
        <w:rPr>
          <w:rFonts w:hint="eastAsia" w:ascii="仿宋_GB2312" w:hAnsi="仿宋" w:eastAsia="仿宋_GB2312" w:cs="Times New Roman"/>
          <w:sz w:val="32"/>
          <w:szCs w:val="32"/>
          <w:highlight w:val="none"/>
        </w:rPr>
        <w:t>分，得分率为</w:t>
      </w:r>
      <w:r>
        <w:rPr>
          <w:rFonts w:hint="eastAsia" w:ascii="Times New Roman" w:hAnsi="Times New Roman" w:eastAsia="仿宋_GB2312" w:cs="Times New Roman"/>
          <w:sz w:val="32"/>
          <w:szCs w:val="32"/>
          <w:highlight w:val="none"/>
          <w:lang w:val="en-US" w:eastAsia="zh-CN"/>
        </w:rPr>
        <w:t>10</w:t>
      </w:r>
      <w:r>
        <w:rPr>
          <w:rFonts w:hint="eastAsia" w:ascii="Times New Roman" w:hAnsi="Times New Roman" w:eastAsia="仿宋_GB2312" w:cs="Times New Roman"/>
          <w:sz w:val="32"/>
          <w:szCs w:val="32"/>
          <w:highlight w:val="none"/>
        </w:rPr>
        <w:t>0</w:t>
      </w:r>
      <w:r>
        <w:rPr>
          <w:rFonts w:hint="eastAsia" w:ascii="仿宋_GB2312" w:hAnsi="仿宋" w:eastAsia="仿宋_GB2312" w:cs="Times New Roman"/>
          <w:sz w:val="32"/>
          <w:szCs w:val="32"/>
          <w:highlight w:val="none"/>
        </w:rPr>
        <w:t>%</w:t>
      </w:r>
      <w:r>
        <w:rPr>
          <w:rFonts w:hint="eastAsia" w:ascii="仿宋_GB2312" w:hAnsi="仿宋" w:eastAsia="仿宋_GB2312" w:cs="Times New Roman"/>
          <w:sz w:val="32"/>
          <w:szCs w:val="32"/>
        </w:rPr>
        <w:t>。产出类评价指标及评价得分情况见下表</w:t>
      </w:r>
      <w:r>
        <w:rPr>
          <w:rFonts w:hint="eastAsia" w:ascii="Times New Roman" w:hAnsi="Times New Roman" w:eastAsia="仿宋_GB2312" w:cs="Times New Roman"/>
          <w:sz w:val="32"/>
          <w:szCs w:val="32"/>
        </w:rPr>
        <w:t>3</w:t>
      </w:r>
      <w:r>
        <w:rPr>
          <w:rFonts w:hint="eastAsia" w:ascii="仿宋_GB2312" w:hAnsi="仿宋" w:eastAsia="仿宋_GB2312" w:cs="Times New Roman"/>
          <w:sz w:val="32"/>
          <w:szCs w:val="32"/>
        </w:rPr>
        <w:t>-</w:t>
      </w:r>
      <w:r>
        <w:rPr>
          <w:rFonts w:hint="eastAsia" w:ascii="Times New Roman" w:hAnsi="Times New Roman" w:eastAsia="仿宋_GB2312" w:cs="Times New Roman"/>
          <w:sz w:val="32"/>
          <w:szCs w:val="32"/>
        </w:rPr>
        <w:t>3</w:t>
      </w:r>
      <w:r>
        <w:rPr>
          <w:rFonts w:hint="eastAsia" w:ascii="仿宋_GB2312" w:hAnsi="仿宋" w:eastAsia="仿宋_GB2312" w:cs="Times New Roman"/>
          <w:sz w:val="32"/>
          <w:szCs w:val="32"/>
        </w:rPr>
        <w:t>。</w:t>
      </w:r>
    </w:p>
    <w:p>
      <w:pPr>
        <w:widowControl w:val="0"/>
        <w:ind w:firstLine="560" w:firstLineChars="200"/>
        <w:jc w:val="center"/>
        <w:rPr>
          <w:rFonts w:ascii="仿宋" w:hAnsi="仿宋" w:eastAsia="仿宋" w:cs="仿宋"/>
          <w:sz w:val="32"/>
          <w:szCs w:val="32"/>
        </w:rPr>
      </w:pPr>
      <w:r>
        <w:rPr>
          <w:rFonts w:hint="eastAsia" w:ascii="黑体" w:hAnsi="黑体" w:eastAsia="黑体"/>
          <w:sz w:val="28"/>
        </w:rPr>
        <w:t>表</w:t>
      </w:r>
      <w:r>
        <w:rPr>
          <w:rFonts w:hint="eastAsia" w:ascii="Times New Roman" w:hAnsi="Times New Roman" w:eastAsia="黑体"/>
          <w:sz w:val="28"/>
        </w:rPr>
        <w:t>3</w:t>
      </w:r>
      <w:r>
        <w:rPr>
          <w:rFonts w:hint="eastAsia" w:ascii="黑体" w:hAnsi="黑体" w:eastAsia="黑体"/>
          <w:sz w:val="28"/>
        </w:rPr>
        <w:t>-</w:t>
      </w:r>
      <w:r>
        <w:rPr>
          <w:rFonts w:hint="eastAsia" w:ascii="Times New Roman" w:hAnsi="Times New Roman" w:eastAsia="黑体"/>
          <w:sz w:val="28"/>
        </w:rPr>
        <w:t>3</w:t>
      </w:r>
      <w:r>
        <w:rPr>
          <w:rFonts w:hint="eastAsia" w:ascii="黑体" w:hAnsi="黑体" w:eastAsia="黑体"/>
          <w:sz w:val="28"/>
        </w:rPr>
        <w:t xml:space="preserve"> 产出类指标及评价得分情况表</w:t>
      </w:r>
    </w:p>
    <w:tbl>
      <w:tblPr>
        <w:tblStyle w:val="18"/>
        <w:tblW w:w="9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709"/>
        <w:gridCol w:w="1404"/>
        <w:gridCol w:w="723"/>
        <w:gridCol w:w="3597"/>
        <w:gridCol w:w="582"/>
        <w:gridCol w:w="567"/>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763" w:type="dxa"/>
            <w:shd w:val="clear" w:color="auto" w:fill="A5A5A5" w:themeFill="background1" w:themeFillShade="A6"/>
            <w:vAlign w:val="center"/>
          </w:tcPr>
          <w:p>
            <w:pPr>
              <w:spacing w:line="240" w:lineRule="auto"/>
              <w:jc w:val="center"/>
              <w:rPr>
                <w:rFonts w:cs="仿宋_GB2312"/>
                <w:b/>
                <w:sz w:val="20"/>
                <w:szCs w:val="20"/>
              </w:rPr>
            </w:pPr>
            <w:r>
              <w:rPr>
                <w:rFonts w:hint="eastAsia" w:cs="仿宋_GB2312"/>
                <w:b/>
                <w:sz w:val="20"/>
                <w:szCs w:val="20"/>
              </w:rPr>
              <w:t>一级指标</w:t>
            </w:r>
          </w:p>
        </w:tc>
        <w:tc>
          <w:tcPr>
            <w:tcW w:w="709" w:type="dxa"/>
            <w:shd w:val="clear" w:color="auto" w:fill="A5A5A5" w:themeFill="background1" w:themeFillShade="A6"/>
            <w:vAlign w:val="center"/>
          </w:tcPr>
          <w:p>
            <w:pPr>
              <w:spacing w:line="240" w:lineRule="auto"/>
              <w:jc w:val="center"/>
              <w:rPr>
                <w:rFonts w:cs="仿宋_GB2312"/>
                <w:b/>
                <w:sz w:val="20"/>
                <w:szCs w:val="20"/>
              </w:rPr>
            </w:pPr>
            <w:r>
              <w:rPr>
                <w:rFonts w:hint="eastAsia" w:cs="仿宋_GB2312"/>
                <w:b/>
                <w:sz w:val="20"/>
                <w:szCs w:val="20"/>
              </w:rPr>
              <w:t>权重</w:t>
            </w:r>
          </w:p>
        </w:tc>
        <w:tc>
          <w:tcPr>
            <w:tcW w:w="1404" w:type="dxa"/>
            <w:shd w:val="clear" w:color="auto" w:fill="A5A5A5" w:themeFill="background1" w:themeFillShade="A6"/>
            <w:vAlign w:val="center"/>
          </w:tcPr>
          <w:p>
            <w:pPr>
              <w:spacing w:line="240" w:lineRule="auto"/>
              <w:jc w:val="center"/>
              <w:rPr>
                <w:rFonts w:cs="仿宋_GB2312"/>
                <w:b/>
                <w:sz w:val="20"/>
                <w:szCs w:val="20"/>
              </w:rPr>
            </w:pPr>
            <w:r>
              <w:rPr>
                <w:rFonts w:hint="eastAsia" w:cs="仿宋_GB2312"/>
                <w:b/>
                <w:sz w:val="20"/>
                <w:szCs w:val="20"/>
              </w:rPr>
              <w:t>二级指标</w:t>
            </w:r>
          </w:p>
        </w:tc>
        <w:tc>
          <w:tcPr>
            <w:tcW w:w="723" w:type="dxa"/>
            <w:shd w:val="clear" w:color="auto" w:fill="A5A5A5" w:themeFill="background1" w:themeFillShade="A6"/>
            <w:vAlign w:val="center"/>
          </w:tcPr>
          <w:p>
            <w:pPr>
              <w:spacing w:line="240" w:lineRule="auto"/>
              <w:jc w:val="center"/>
              <w:rPr>
                <w:rFonts w:cs="仿宋_GB2312"/>
                <w:b/>
                <w:sz w:val="20"/>
                <w:szCs w:val="20"/>
              </w:rPr>
            </w:pPr>
            <w:r>
              <w:rPr>
                <w:rFonts w:hint="eastAsia" w:cs="仿宋_GB2312"/>
                <w:b/>
                <w:sz w:val="20"/>
                <w:szCs w:val="20"/>
              </w:rPr>
              <w:t>权重</w:t>
            </w:r>
          </w:p>
        </w:tc>
        <w:tc>
          <w:tcPr>
            <w:tcW w:w="3597" w:type="dxa"/>
            <w:shd w:val="clear" w:color="auto" w:fill="A5A5A5" w:themeFill="background1" w:themeFillShade="A6"/>
            <w:vAlign w:val="center"/>
          </w:tcPr>
          <w:p>
            <w:pPr>
              <w:spacing w:line="240" w:lineRule="auto"/>
              <w:jc w:val="center"/>
              <w:rPr>
                <w:rFonts w:cs="仿宋_GB2312"/>
                <w:b/>
                <w:sz w:val="20"/>
                <w:szCs w:val="20"/>
              </w:rPr>
            </w:pPr>
            <w:r>
              <w:rPr>
                <w:rFonts w:hint="eastAsia" w:cs="仿宋_GB2312"/>
                <w:b/>
                <w:sz w:val="20"/>
                <w:szCs w:val="20"/>
              </w:rPr>
              <w:t>三级指标</w:t>
            </w:r>
          </w:p>
        </w:tc>
        <w:tc>
          <w:tcPr>
            <w:tcW w:w="582" w:type="dxa"/>
            <w:shd w:val="clear" w:color="auto" w:fill="A5A5A5" w:themeFill="background1" w:themeFillShade="A6"/>
            <w:vAlign w:val="center"/>
          </w:tcPr>
          <w:p>
            <w:pPr>
              <w:spacing w:line="240" w:lineRule="auto"/>
              <w:jc w:val="center"/>
              <w:rPr>
                <w:rFonts w:cs="仿宋_GB2312"/>
                <w:b/>
                <w:sz w:val="20"/>
                <w:szCs w:val="20"/>
              </w:rPr>
            </w:pPr>
            <w:r>
              <w:rPr>
                <w:rFonts w:hint="eastAsia" w:cs="仿宋_GB2312"/>
                <w:b/>
                <w:sz w:val="20"/>
                <w:szCs w:val="20"/>
              </w:rPr>
              <w:t>权重</w:t>
            </w:r>
          </w:p>
        </w:tc>
        <w:tc>
          <w:tcPr>
            <w:tcW w:w="567" w:type="dxa"/>
            <w:shd w:val="clear" w:color="auto" w:fill="A5A5A5" w:themeFill="background1" w:themeFillShade="A6"/>
            <w:vAlign w:val="center"/>
          </w:tcPr>
          <w:p>
            <w:pPr>
              <w:spacing w:line="240" w:lineRule="auto"/>
              <w:jc w:val="center"/>
              <w:rPr>
                <w:rFonts w:cs="仿宋_GB2312"/>
                <w:b/>
                <w:sz w:val="20"/>
                <w:szCs w:val="20"/>
              </w:rPr>
            </w:pPr>
            <w:r>
              <w:rPr>
                <w:rFonts w:hint="eastAsia" w:cs="仿宋_GB2312"/>
                <w:b/>
                <w:sz w:val="20"/>
                <w:szCs w:val="20"/>
              </w:rPr>
              <w:t>分值</w:t>
            </w:r>
          </w:p>
        </w:tc>
        <w:tc>
          <w:tcPr>
            <w:tcW w:w="1028" w:type="dxa"/>
            <w:shd w:val="clear" w:color="auto" w:fill="A5A5A5" w:themeFill="background1" w:themeFillShade="A6"/>
            <w:vAlign w:val="center"/>
          </w:tcPr>
          <w:p>
            <w:pPr>
              <w:spacing w:line="240" w:lineRule="auto"/>
              <w:jc w:val="center"/>
              <w:rPr>
                <w:rFonts w:cs="仿宋_GB2312"/>
                <w:b/>
                <w:sz w:val="20"/>
                <w:szCs w:val="20"/>
              </w:rPr>
            </w:pPr>
            <w:r>
              <w:rPr>
                <w:rFonts w:hint="eastAsia" w:cs="仿宋_GB2312"/>
                <w:b/>
                <w:sz w:val="20"/>
                <w:szCs w:val="20"/>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763" w:type="dxa"/>
            <w:vMerge w:val="restart"/>
            <w:vAlign w:val="center"/>
          </w:tcPr>
          <w:p>
            <w:pPr>
              <w:widowControl w:val="0"/>
              <w:spacing w:line="240" w:lineRule="auto"/>
              <w:jc w:val="center"/>
              <w:rPr>
                <w:rFonts w:cs="仿宋"/>
                <w:sz w:val="20"/>
                <w:szCs w:val="20"/>
              </w:rPr>
            </w:pPr>
            <w:r>
              <w:rPr>
                <w:rFonts w:ascii="Times New Roman" w:hAnsi="Times New Roman" w:cs="仿宋"/>
                <w:sz w:val="20"/>
                <w:szCs w:val="20"/>
              </w:rPr>
              <w:t>C</w:t>
            </w:r>
            <w:r>
              <w:rPr>
                <w:rFonts w:hint="eastAsia" w:cs="仿宋"/>
                <w:sz w:val="20"/>
                <w:szCs w:val="20"/>
              </w:rPr>
              <w:t>产出</w:t>
            </w:r>
          </w:p>
        </w:tc>
        <w:tc>
          <w:tcPr>
            <w:tcW w:w="709" w:type="dxa"/>
            <w:vMerge w:val="restart"/>
            <w:vAlign w:val="center"/>
          </w:tcPr>
          <w:p>
            <w:pPr>
              <w:widowControl w:val="0"/>
              <w:spacing w:line="240" w:lineRule="auto"/>
              <w:jc w:val="center"/>
              <w:rPr>
                <w:rFonts w:cs="仿宋"/>
                <w:sz w:val="20"/>
                <w:szCs w:val="20"/>
              </w:rPr>
            </w:pPr>
            <w:r>
              <w:rPr>
                <w:rFonts w:hint="eastAsia" w:ascii="Times New Roman" w:hAnsi="Times New Roman" w:cs="仿宋"/>
                <w:sz w:val="20"/>
                <w:szCs w:val="20"/>
              </w:rPr>
              <w:t>30</w:t>
            </w:r>
          </w:p>
        </w:tc>
        <w:tc>
          <w:tcPr>
            <w:tcW w:w="1404" w:type="dxa"/>
            <w:vAlign w:val="center"/>
          </w:tcPr>
          <w:p>
            <w:pPr>
              <w:widowControl w:val="0"/>
              <w:spacing w:line="240" w:lineRule="auto"/>
              <w:jc w:val="center"/>
              <w:rPr>
                <w:rFonts w:cs="仿宋"/>
                <w:sz w:val="20"/>
                <w:szCs w:val="20"/>
              </w:rPr>
            </w:pPr>
            <w:r>
              <w:rPr>
                <w:rFonts w:ascii="Times New Roman" w:hAnsi="Times New Roman" w:cs="仿宋"/>
                <w:sz w:val="20"/>
                <w:szCs w:val="20"/>
              </w:rPr>
              <w:t>C</w:t>
            </w:r>
            <w:r>
              <w:rPr>
                <w:rFonts w:hint="eastAsia" w:ascii="Times New Roman" w:hAnsi="Times New Roman" w:cs="仿宋"/>
                <w:sz w:val="20"/>
                <w:szCs w:val="20"/>
              </w:rPr>
              <w:t>1</w:t>
            </w:r>
            <w:r>
              <w:rPr>
                <w:rFonts w:hint="eastAsia" w:cs="仿宋"/>
                <w:sz w:val="20"/>
                <w:szCs w:val="20"/>
              </w:rPr>
              <w:t>产出数量</w:t>
            </w:r>
          </w:p>
        </w:tc>
        <w:tc>
          <w:tcPr>
            <w:tcW w:w="723" w:type="dxa"/>
            <w:vAlign w:val="center"/>
          </w:tcPr>
          <w:p>
            <w:pPr>
              <w:widowControl w:val="0"/>
              <w:spacing w:line="240" w:lineRule="auto"/>
              <w:jc w:val="center"/>
              <w:rPr>
                <w:rFonts w:hint="eastAsia" w:eastAsia="宋体" w:cs="仿宋"/>
                <w:sz w:val="20"/>
                <w:szCs w:val="20"/>
                <w:lang w:eastAsia="zh-CN"/>
              </w:rPr>
            </w:pPr>
            <w:r>
              <w:rPr>
                <w:rFonts w:hint="eastAsia" w:ascii="Times New Roman" w:hAnsi="Times New Roman" w:cs="仿宋"/>
                <w:sz w:val="20"/>
                <w:szCs w:val="20"/>
                <w:lang w:val="en-US" w:eastAsia="zh-CN"/>
              </w:rPr>
              <w:t>8</w:t>
            </w:r>
          </w:p>
        </w:tc>
        <w:tc>
          <w:tcPr>
            <w:tcW w:w="3597" w:type="dxa"/>
            <w:vAlign w:val="center"/>
          </w:tcPr>
          <w:p>
            <w:pPr>
              <w:widowControl w:val="0"/>
              <w:spacing w:line="240" w:lineRule="auto"/>
              <w:jc w:val="center"/>
              <w:rPr>
                <w:rFonts w:cs="仿宋"/>
                <w:sz w:val="20"/>
                <w:szCs w:val="20"/>
              </w:rPr>
            </w:pPr>
            <w:r>
              <w:rPr>
                <w:rFonts w:ascii="Times New Roman" w:hAnsi="Times New Roman" w:cs="仿宋"/>
                <w:sz w:val="20"/>
                <w:szCs w:val="20"/>
              </w:rPr>
              <w:t>C</w:t>
            </w:r>
            <w:r>
              <w:rPr>
                <w:rFonts w:hint="eastAsia" w:ascii="Times New Roman" w:hAnsi="Times New Roman" w:cs="仿宋"/>
                <w:sz w:val="20"/>
                <w:szCs w:val="20"/>
              </w:rPr>
              <w:t>11</w:t>
            </w:r>
            <w:r>
              <w:rPr>
                <w:rFonts w:hint="eastAsia" w:ascii="Times New Roman" w:hAnsi="Times New Roman" w:cs="仿宋"/>
                <w:sz w:val="20"/>
                <w:szCs w:val="20"/>
                <w:lang w:val="en-US" w:eastAsia="zh-CN"/>
              </w:rPr>
              <w:t>工程建设</w:t>
            </w:r>
            <w:r>
              <w:rPr>
                <w:rFonts w:cs="仿宋"/>
                <w:sz w:val="20"/>
                <w:szCs w:val="20"/>
              </w:rPr>
              <w:t>完成率</w:t>
            </w:r>
          </w:p>
        </w:tc>
        <w:tc>
          <w:tcPr>
            <w:tcW w:w="582" w:type="dxa"/>
            <w:vAlign w:val="center"/>
          </w:tcPr>
          <w:p>
            <w:pPr>
              <w:widowControl w:val="0"/>
              <w:spacing w:line="240" w:lineRule="auto"/>
              <w:jc w:val="center"/>
              <w:rPr>
                <w:rFonts w:hint="eastAsia" w:eastAsia="宋体" w:cs="仿宋"/>
                <w:sz w:val="20"/>
                <w:szCs w:val="20"/>
                <w:lang w:eastAsia="zh-CN"/>
              </w:rPr>
            </w:pPr>
            <w:r>
              <w:rPr>
                <w:rFonts w:hint="eastAsia" w:ascii="Times New Roman" w:hAnsi="Times New Roman" w:cs="仿宋"/>
                <w:sz w:val="20"/>
                <w:szCs w:val="20"/>
                <w:lang w:val="en-US" w:eastAsia="zh-CN"/>
              </w:rPr>
              <w:t>8</w:t>
            </w:r>
          </w:p>
        </w:tc>
        <w:tc>
          <w:tcPr>
            <w:tcW w:w="567" w:type="dxa"/>
            <w:vAlign w:val="center"/>
          </w:tcPr>
          <w:p>
            <w:pPr>
              <w:widowControl w:val="0"/>
              <w:spacing w:line="240" w:lineRule="auto"/>
              <w:jc w:val="center"/>
              <w:rPr>
                <w:rFonts w:ascii="Times New Roman" w:hAnsi="Times New Roman" w:cs="仿宋"/>
                <w:sz w:val="20"/>
                <w:szCs w:val="20"/>
                <w:highlight w:val="none"/>
              </w:rPr>
            </w:pPr>
            <w:r>
              <w:rPr>
                <w:rFonts w:hint="eastAsia" w:ascii="Times New Roman" w:hAnsi="Times New Roman" w:cs="仿宋"/>
                <w:sz w:val="20"/>
                <w:szCs w:val="20"/>
                <w:highlight w:val="none"/>
                <w:lang w:val="en-US" w:eastAsia="zh-CN"/>
              </w:rPr>
              <w:t>8</w:t>
            </w:r>
          </w:p>
        </w:tc>
        <w:tc>
          <w:tcPr>
            <w:tcW w:w="1028" w:type="dxa"/>
            <w:vAlign w:val="center"/>
          </w:tcPr>
          <w:p>
            <w:pPr>
              <w:widowControl w:val="0"/>
              <w:spacing w:line="240" w:lineRule="auto"/>
              <w:jc w:val="center"/>
              <w:rPr>
                <w:rFonts w:ascii="Times New Roman" w:hAnsi="Times New Roman" w:cs="仿宋"/>
                <w:sz w:val="20"/>
                <w:szCs w:val="20"/>
                <w:highlight w:val="none"/>
              </w:rPr>
            </w:pPr>
            <w:r>
              <w:rPr>
                <w:rFonts w:hint="eastAsia" w:ascii="Times New Roman" w:hAnsi="Times New Roman" w:cs="仿宋"/>
                <w:sz w:val="20"/>
                <w:szCs w:val="20"/>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vMerge w:val="continue"/>
            <w:vAlign w:val="center"/>
          </w:tcPr>
          <w:p>
            <w:pPr>
              <w:spacing w:line="240" w:lineRule="auto"/>
              <w:jc w:val="center"/>
              <w:rPr>
                <w:color w:val="000000"/>
                <w:sz w:val="20"/>
                <w:szCs w:val="20"/>
              </w:rPr>
            </w:pPr>
          </w:p>
        </w:tc>
        <w:tc>
          <w:tcPr>
            <w:tcW w:w="709" w:type="dxa"/>
            <w:vMerge w:val="continue"/>
            <w:vAlign w:val="center"/>
          </w:tcPr>
          <w:p>
            <w:pPr>
              <w:spacing w:line="240" w:lineRule="auto"/>
              <w:jc w:val="center"/>
              <w:rPr>
                <w:color w:val="000000"/>
                <w:sz w:val="20"/>
                <w:szCs w:val="20"/>
              </w:rPr>
            </w:pPr>
          </w:p>
        </w:tc>
        <w:tc>
          <w:tcPr>
            <w:tcW w:w="1404" w:type="dxa"/>
            <w:vAlign w:val="center"/>
          </w:tcPr>
          <w:p>
            <w:pPr>
              <w:widowControl w:val="0"/>
              <w:spacing w:line="240" w:lineRule="auto"/>
              <w:jc w:val="center"/>
              <w:rPr>
                <w:rFonts w:cs="仿宋"/>
                <w:sz w:val="20"/>
                <w:szCs w:val="20"/>
              </w:rPr>
            </w:pPr>
            <w:r>
              <w:rPr>
                <w:rFonts w:ascii="Times New Roman" w:hAnsi="Times New Roman" w:cs="仿宋"/>
                <w:sz w:val="20"/>
                <w:szCs w:val="20"/>
              </w:rPr>
              <w:t>C</w:t>
            </w:r>
            <w:r>
              <w:rPr>
                <w:rFonts w:hint="eastAsia" w:ascii="Times New Roman" w:hAnsi="Times New Roman" w:cs="仿宋"/>
                <w:sz w:val="20"/>
                <w:szCs w:val="20"/>
              </w:rPr>
              <w:t>2</w:t>
            </w:r>
            <w:r>
              <w:rPr>
                <w:rFonts w:hint="eastAsia" w:cs="仿宋"/>
                <w:sz w:val="20"/>
                <w:szCs w:val="20"/>
              </w:rPr>
              <w:t>产出质量</w:t>
            </w:r>
          </w:p>
        </w:tc>
        <w:tc>
          <w:tcPr>
            <w:tcW w:w="723" w:type="dxa"/>
            <w:vAlign w:val="center"/>
          </w:tcPr>
          <w:p>
            <w:pPr>
              <w:widowControl w:val="0"/>
              <w:spacing w:line="240" w:lineRule="auto"/>
              <w:jc w:val="center"/>
              <w:rPr>
                <w:rFonts w:hint="eastAsia" w:eastAsia="宋体" w:cs="仿宋"/>
                <w:sz w:val="20"/>
                <w:szCs w:val="20"/>
                <w:lang w:eastAsia="zh-CN"/>
              </w:rPr>
            </w:pPr>
            <w:r>
              <w:rPr>
                <w:rFonts w:hint="eastAsia" w:ascii="Times New Roman" w:hAnsi="Times New Roman" w:cs="仿宋"/>
                <w:sz w:val="20"/>
                <w:szCs w:val="20"/>
                <w:lang w:val="en-US" w:eastAsia="zh-CN"/>
              </w:rPr>
              <w:t>7</w:t>
            </w:r>
          </w:p>
        </w:tc>
        <w:tc>
          <w:tcPr>
            <w:tcW w:w="3597" w:type="dxa"/>
            <w:vAlign w:val="center"/>
          </w:tcPr>
          <w:p>
            <w:pPr>
              <w:widowControl w:val="0"/>
              <w:spacing w:line="240" w:lineRule="auto"/>
              <w:jc w:val="center"/>
              <w:rPr>
                <w:rFonts w:cs="仿宋"/>
                <w:sz w:val="20"/>
                <w:szCs w:val="20"/>
              </w:rPr>
            </w:pPr>
            <w:r>
              <w:rPr>
                <w:rFonts w:ascii="Times New Roman" w:hAnsi="Times New Roman" w:cs="仿宋"/>
                <w:sz w:val="20"/>
                <w:szCs w:val="20"/>
              </w:rPr>
              <w:t>C</w:t>
            </w:r>
            <w:r>
              <w:rPr>
                <w:rFonts w:hint="eastAsia" w:ascii="Times New Roman" w:hAnsi="Times New Roman" w:cs="仿宋"/>
                <w:sz w:val="20"/>
                <w:szCs w:val="20"/>
              </w:rPr>
              <w:t>21</w:t>
            </w:r>
            <w:r>
              <w:rPr>
                <w:rFonts w:hint="eastAsia" w:cs="仿宋"/>
                <w:sz w:val="20"/>
                <w:szCs w:val="20"/>
                <w:lang w:val="en-US" w:eastAsia="zh-CN"/>
              </w:rPr>
              <w:t>工程</w:t>
            </w:r>
            <w:r>
              <w:rPr>
                <w:rFonts w:hint="eastAsia" w:cs="仿宋"/>
                <w:sz w:val="20"/>
                <w:szCs w:val="20"/>
              </w:rPr>
              <w:t>验收合格率</w:t>
            </w:r>
          </w:p>
        </w:tc>
        <w:tc>
          <w:tcPr>
            <w:tcW w:w="582" w:type="dxa"/>
            <w:vAlign w:val="center"/>
          </w:tcPr>
          <w:p>
            <w:pPr>
              <w:widowControl w:val="0"/>
              <w:spacing w:line="240" w:lineRule="auto"/>
              <w:jc w:val="center"/>
              <w:rPr>
                <w:rFonts w:hint="eastAsia" w:eastAsia="宋体" w:cs="仿宋"/>
                <w:sz w:val="20"/>
                <w:szCs w:val="20"/>
                <w:lang w:eastAsia="zh-CN"/>
              </w:rPr>
            </w:pPr>
            <w:r>
              <w:rPr>
                <w:rFonts w:hint="eastAsia" w:ascii="Times New Roman" w:hAnsi="Times New Roman" w:cs="仿宋"/>
                <w:sz w:val="20"/>
                <w:szCs w:val="20"/>
                <w:lang w:val="en-US" w:eastAsia="zh-CN"/>
              </w:rPr>
              <w:t>7</w:t>
            </w:r>
          </w:p>
        </w:tc>
        <w:tc>
          <w:tcPr>
            <w:tcW w:w="567" w:type="dxa"/>
            <w:vAlign w:val="center"/>
          </w:tcPr>
          <w:p>
            <w:pPr>
              <w:widowControl w:val="0"/>
              <w:spacing w:line="240" w:lineRule="auto"/>
              <w:jc w:val="center"/>
              <w:rPr>
                <w:rFonts w:ascii="Times New Roman" w:hAnsi="Times New Roman" w:cs="仿宋"/>
                <w:sz w:val="20"/>
                <w:szCs w:val="20"/>
                <w:highlight w:val="none"/>
              </w:rPr>
            </w:pPr>
            <w:r>
              <w:rPr>
                <w:rFonts w:hint="eastAsia" w:ascii="Times New Roman" w:hAnsi="Times New Roman" w:cs="仿宋"/>
                <w:sz w:val="20"/>
                <w:szCs w:val="20"/>
                <w:highlight w:val="none"/>
                <w:lang w:val="en-US" w:eastAsia="zh-CN"/>
              </w:rPr>
              <w:t>7</w:t>
            </w:r>
          </w:p>
        </w:tc>
        <w:tc>
          <w:tcPr>
            <w:tcW w:w="1028" w:type="dxa"/>
            <w:vAlign w:val="center"/>
          </w:tcPr>
          <w:p>
            <w:pPr>
              <w:widowControl w:val="0"/>
              <w:spacing w:line="240" w:lineRule="auto"/>
              <w:jc w:val="center"/>
              <w:rPr>
                <w:rFonts w:ascii="Times New Roman" w:hAnsi="Times New Roman" w:cs="仿宋"/>
                <w:sz w:val="20"/>
                <w:szCs w:val="20"/>
                <w:highlight w:val="none"/>
              </w:rPr>
            </w:pPr>
            <w:r>
              <w:rPr>
                <w:rFonts w:hint="eastAsia" w:ascii="Times New Roman" w:hAnsi="Times New Roman" w:cs="仿宋"/>
                <w:sz w:val="20"/>
                <w:szCs w:val="20"/>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763" w:type="dxa"/>
            <w:vMerge w:val="continue"/>
            <w:vAlign w:val="center"/>
          </w:tcPr>
          <w:p>
            <w:pPr>
              <w:spacing w:line="240" w:lineRule="auto"/>
              <w:jc w:val="center"/>
              <w:rPr>
                <w:color w:val="000000"/>
                <w:sz w:val="20"/>
                <w:szCs w:val="20"/>
              </w:rPr>
            </w:pPr>
          </w:p>
        </w:tc>
        <w:tc>
          <w:tcPr>
            <w:tcW w:w="709" w:type="dxa"/>
            <w:vMerge w:val="continue"/>
            <w:vAlign w:val="center"/>
          </w:tcPr>
          <w:p>
            <w:pPr>
              <w:spacing w:line="240" w:lineRule="auto"/>
              <w:jc w:val="center"/>
              <w:rPr>
                <w:color w:val="000000"/>
                <w:sz w:val="20"/>
                <w:szCs w:val="20"/>
              </w:rPr>
            </w:pPr>
          </w:p>
        </w:tc>
        <w:tc>
          <w:tcPr>
            <w:tcW w:w="1404" w:type="dxa"/>
            <w:vAlign w:val="center"/>
          </w:tcPr>
          <w:p>
            <w:pPr>
              <w:widowControl w:val="0"/>
              <w:spacing w:line="240" w:lineRule="auto"/>
              <w:jc w:val="center"/>
              <w:rPr>
                <w:rFonts w:cs="仿宋"/>
                <w:sz w:val="20"/>
                <w:szCs w:val="20"/>
              </w:rPr>
            </w:pPr>
            <w:r>
              <w:rPr>
                <w:rFonts w:ascii="Times New Roman" w:hAnsi="Times New Roman" w:cs="仿宋"/>
                <w:sz w:val="20"/>
                <w:szCs w:val="20"/>
              </w:rPr>
              <w:t>C</w:t>
            </w:r>
            <w:r>
              <w:rPr>
                <w:rFonts w:hint="eastAsia" w:ascii="Times New Roman" w:hAnsi="Times New Roman" w:cs="仿宋"/>
                <w:sz w:val="20"/>
                <w:szCs w:val="20"/>
              </w:rPr>
              <w:t>3</w:t>
            </w:r>
            <w:r>
              <w:rPr>
                <w:rFonts w:hint="eastAsia" w:cs="仿宋"/>
                <w:sz w:val="20"/>
                <w:szCs w:val="20"/>
              </w:rPr>
              <w:t>产出时效</w:t>
            </w:r>
          </w:p>
        </w:tc>
        <w:tc>
          <w:tcPr>
            <w:tcW w:w="723" w:type="dxa"/>
            <w:vAlign w:val="center"/>
          </w:tcPr>
          <w:p>
            <w:pPr>
              <w:widowControl w:val="0"/>
              <w:spacing w:line="240" w:lineRule="auto"/>
              <w:jc w:val="center"/>
              <w:rPr>
                <w:rFonts w:hint="eastAsia" w:eastAsia="宋体" w:cs="仿宋"/>
                <w:sz w:val="20"/>
                <w:szCs w:val="20"/>
                <w:lang w:eastAsia="zh-CN"/>
              </w:rPr>
            </w:pPr>
            <w:r>
              <w:rPr>
                <w:rFonts w:hint="eastAsia" w:ascii="Times New Roman" w:hAnsi="Times New Roman" w:cs="仿宋"/>
                <w:sz w:val="20"/>
                <w:szCs w:val="20"/>
                <w:lang w:val="en-US" w:eastAsia="zh-CN"/>
              </w:rPr>
              <w:t>6</w:t>
            </w:r>
          </w:p>
        </w:tc>
        <w:tc>
          <w:tcPr>
            <w:tcW w:w="3597" w:type="dxa"/>
            <w:vAlign w:val="center"/>
          </w:tcPr>
          <w:p>
            <w:pPr>
              <w:widowControl w:val="0"/>
              <w:spacing w:line="240" w:lineRule="auto"/>
              <w:jc w:val="center"/>
              <w:rPr>
                <w:rFonts w:cs="仿宋"/>
                <w:sz w:val="20"/>
                <w:szCs w:val="20"/>
              </w:rPr>
            </w:pPr>
            <w:r>
              <w:rPr>
                <w:rFonts w:ascii="Times New Roman" w:hAnsi="Times New Roman" w:cs="仿宋"/>
                <w:sz w:val="20"/>
                <w:szCs w:val="20"/>
              </w:rPr>
              <w:t>C</w:t>
            </w:r>
            <w:r>
              <w:rPr>
                <w:rFonts w:hint="eastAsia" w:ascii="Times New Roman" w:hAnsi="Times New Roman" w:cs="仿宋"/>
                <w:sz w:val="20"/>
                <w:szCs w:val="20"/>
              </w:rPr>
              <w:t>31</w:t>
            </w:r>
            <w:r>
              <w:rPr>
                <w:rFonts w:hint="eastAsia" w:cs="仿宋"/>
                <w:sz w:val="20"/>
                <w:szCs w:val="20"/>
              </w:rPr>
              <w:t>完</w:t>
            </w:r>
            <w:r>
              <w:rPr>
                <w:rFonts w:hint="eastAsia" w:cs="仿宋"/>
                <w:sz w:val="20"/>
                <w:szCs w:val="20"/>
                <w:lang w:val="en-US" w:eastAsia="zh-CN"/>
              </w:rPr>
              <w:t>成</w:t>
            </w:r>
            <w:r>
              <w:rPr>
                <w:rFonts w:hint="eastAsia" w:cs="仿宋"/>
                <w:sz w:val="20"/>
                <w:szCs w:val="20"/>
              </w:rPr>
              <w:t>及时率</w:t>
            </w:r>
          </w:p>
        </w:tc>
        <w:tc>
          <w:tcPr>
            <w:tcW w:w="582" w:type="dxa"/>
            <w:vAlign w:val="center"/>
          </w:tcPr>
          <w:p>
            <w:pPr>
              <w:widowControl w:val="0"/>
              <w:spacing w:line="240" w:lineRule="auto"/>
              <w:jc w:val="center"/>
              <w:rPr>
                <w:rFonts w:hint="eastAsia" w:eastAsia="宋体" w:cs="仿宋"/>
                <w:sz w:val="20"/>
                <w:szCs w:val="20"/>
                <w:lang w:eastAsia="zh-CN"/>
              </w:rPr>
            </w:pPr>
            <w:r>
              <w:rPr>
                <w:rFonts w:hint="eastAsia" w:ascii="Times New Roman" w:hAnsi="Times New Roman" w:cs="仿宋"/>
                <w:sz w:val="20"/>
                <w:szCs w:val="20"/>
                <w:lang w:val="en-US" w:eastAsia="zh-CN"/>
              </w:rPr>
              <w:t>6</w:t>
            </w:r>
          </w:p>
        </w:tc>
        <w:tc>
          <w:tcPr>
            <w:tcW w:w="567" w:type="dxa"/>
            <w:vAlign w:val="center"/>
          </w:tcPr>
          <w:p>
            <w:pPr>
              <w:widowControl w:val="0"/>
              <w:spacing w:line="240" w:lineRule="auto"/>
              <w:jc w:val="center"/>
              <w:rPr>
                <w:rFonts w:ascii="Times New Roman" w:hAnsi="Times New Roman" w:cs="仿宋"/>
                <w:sz w:val="20"/>
                <w:szCs w:val="20"/>
                <w:highlight w:val="none"/>
              </w:rPr>
            </w:pPr>
            <w:r>
              <w:rPr>
                <w:rFonts w:hint="eastAsia" w:ascii="Times New Roman" w:hAnsi="Times New Roman" w:cs="仿宋"/>
                <w:sz w:val="20"/>
                <w:szCs w:val="20"/>
                <w:highlight w:val="none"/>
                <w:lang w:val="en-US" w:eastAsia="zh-CN"/>
              </w:rPr>
              <w:t>6</w:t>
            </w:r>
          </w:p>
        </w:tc>
        <w:tc>
          <w:tcPr>
            <w:tcW w:w="1028" w:type="dxa"/>
            <w:vAlign w:val="center"/>
          </w:tcPr>
          <w:p>
            <w:pPr>
              <w:widowControl w:val="0"/>
              <w:spacing w:line="240" w:lineRule="auto"/>
              <w:jc w:val="center"/>
              <w:rPr>
                <w:rFonts w:ascii="Times New Roman" w:hAnsi="Times New Roman" w:cs="仿宋"/>
                <w:sz w:val="20"/>
                <w:szCs w:val="20"/>
                <w:highlight w:val="none"/>
              </w:rPr>
            </w:pPr>
            <w:r>
              <w:rPr>
                <w:rFonts w:hint="eastAsia" w:ascii="Times New Roman" w:hAnsi="Times New Roman" w:cs="仿宋"/>
                <w:sz w:val="20"/>
                <w:szCs w:val="20"/>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763" w:type="dxa"/>
            <w:vMerge w:val="continue"/>
            <w:vAlign w:val="center"/>
          </w:tcPr>
          <w:p>
            <w:pPr>
              <w:spacing w:line="240" w:lineRule="auto"/>
              <w:jc w:val="center"/>
              <w:rPr>
                <w:color w:val="000000"/>
                <w:sz w:val="20"/>
                <w:szCs w:val="20"/>
              </w:rPr>
            </w:pPr>
          </w:p>
        </w:tc>
        <w:tc>
          <w:tcPr>
            <w:tcW w:w="709" w:type="dxa"/>
            <w:vMerge w:val="continue"/>
            <w:vAlign w:val="center"/>
          </w:tcPr>
          <w:p>
            <w:pPr>
              <w:spacing w:line="240" w:lineRule="auto"/>
              <w:jc w:val="center"/>
              <w:rPr>
                <w:color w:val="000000"/>
                <w:sz w:val="20"/>
                <w:szCs w:val="20"/>
              </w:rPr>
            </w:pPr>
          </w:p>
        </w:tc>
        <w:tc>
          <w:tcPr>
            <w:tcW w:w="1404" w:type="dxa"/>
            <w:vMerge w:val="restart"/>
            <w:vAlign w:val="center"/>
          </w:tcPr>
          <w:p>
            <w:pPr>
              <w:widowControl w:val="0"/>
              <w:spacing w:line="240" w:lineRule="auto"/>
              <w:jc w:val="center"/>
              <w:rPr>
                <w:rFonts w:cs="仿宋"/>
                <w:sz w:val="20"/>
                <w:szCs w:val="20"/>
              </w:rPr>
            </w:pPr>
            <w:r>
              <w:rPr>
                <w:rFonts w:ascii="Times New Roman" w:hAnsi="Times New Roman" w:cs="仿宋"/>
                <w:sz w:val="20"/>
                <w:szCs w:val="20"/>
              </w:rPr>
              <w:t>C</w:t>
            </w:r>
            <w:r>
              <w:rPr>
                <w:rFonts w:hint="eastAsia" w:ascii="Times New Roman" w:hAnsi="Times New Roman" w:cs="仿宋"/>
                <w:sz w:val="20"/>
                <w:szCs w:val="20"/>
              </w:rPr>
              <w:t>4</w:t>
            </w:r>
            <w:r>
              <w:rPr>
                <w:rFonts w:hint="eastAsia" w:cs="仿宋"/>
                <w:sz w:val="20"/>
                <w:szCs w:val="20"/>
              </w:rPr>
              <w:t>产出成本</w:t>
            </w:r>
          </w:p>
        </w:tc>
        <w:tc>
          <w:tcPr>
            <w:tcW w:w="723" w:type="dxa"/>
            <w:vMerge w:val="restart"/>
            <w:vAlign w:val="center"/>
          </w:tcPr>
          <w:p>
            <w:pPr>
              <w:widowControl w:val="0"/>
              <w:spacing w:line="240" w:lineRule="auto"/>
              <w:jc w:val="center"/>
              <w:rPr>
                <w:rFonts w:hint="eastAsia" w:eastAsia="宋体" w:cs="仿宋"/>
                <w:sz w:val="20"/>
                <w:szCs w:val="20"/>
                <w:lang w:eastAsia="zh-CN"/>
              </w:rPr>
            </w:pPr>
            <w:r>
              <w:rPr>
                <w:rFonts w:hint="eastAsia" w:ascii="Times New Roman" w:hAnsi="Times New Roman" w:cs="仿宋"/>
                <w:sz w:val="20"/>
                <w:szCs w:val="20"/>
                <w:lang w:val="en-US" w:eastAsia="zh-CN"/>
              </w:rPr>
              <w:t>9</w:t>
            </w:r>
          </w:p>
        </w:tc>
        <w:tc>
          <w:tcPr>
            <w:tcW w:w="3597" w:type="dxa"/>
            <w:vAlign w:val="center"/>
          </w:tcPr>
          <w:p>
            <w:pPr>
              <w:widowControl w:val="0"/>
              <w:spacing w:line="240" w:lineRule="auto"/>
              <w:jc w:val="center"/>
              <w:rPr>
                <w:rFonts w:hint="default" w:eastAsia="宋体" w:cs="仿宋"/>
                <w:sz w:val="20"/>
                <w:szCs w:val="20"/>
                <w:lang w:val="en-US" w:eastAsia="zh-CN"/>
              </w:rPr>
            </w:pPr>
            <w:r>
              <w:rPr>
                <w:rFonts w:ascii="Times New Roman" w:hAnsi="Times New Roman" w:cs="仿宋"/>
                <w:sz w:val="20"/>
                <w:szCs w:val="20"/>
              </w:rPr>
              <w:t>C</w:t>
            </w:r>
            <w:r>
              <w:rPr>
                <w:rFonts w:hint="eastAsia" w:ascii="Times New Roman" w:hAnsi="Times New Roman" w:cs="仿宋"/>
                <w:sz w:val="20"/>
                <w:szCs w:val="20"/>
              </w:rPr>
              <w:t>41</w:t>
            </w:r>
            <w:r>
              <w:rPr>
                <w:rFonts w:hint="eastAsia" w:cs="仿宋"/>
                <w:sz w:val="20"/>
                <w:szCs w:val="20"/>
                <w:lang w:val="en-US" w:eastAsia="zh-CN"/>
              </w:rPr>
              <w:t>道路补助标准</w:t>
            </w:r>
          </w:p>
        </w:tc>
        <w:tc>
          <w:tcPr>
            <w:tcW w:w="582" w:type="dxa"/>
            <w:vAlign w:val="center"/>
          </w:tcPr>
          <w:p>
            <w:pPr>
              <w:widowControl w:val="0"/>
              <w:spacing w:line="240" w:lineRule="auto"/>
              <w:jc w:val="center"/>
              <w:rPr>
                <w:rFonts w:hint="eastAsia" w:eastAsia="宋体" w:cs="仿宋"/>
                <w:sz w:val="20"/>
                <w:szCs w:val="20"/>
                <w:lang w:eastAsia="zh-CN"/>
              </w:rPr>
            </w:pPr>
            <w:r>
              <w:rPr>
                <w:rFonts w:hint="eastAsia" w:ascii="Times New Roman" w:hAnsi="Times New Roman" w:cs="仿宋"/>
                <w:sz w:val="20"/>
                <w:szCs w:val="20"/>
                <w:lang w:val="en-US" w:eastAsia="zh-CN"/>
              </w:rPr>
              <w:t>5</w:t>
            </w:r>
          </w:p>
        </w:tc>
        <w:tc>
          <w:tcPr>
            <w:tcW w:w="567" w:type="dxa"/>
            <w:vAlign w:val="center"/>
          </w:tcPr>
          <w:p>
            <w:pPr>
              <w:widowControl w:val="0"/>
              <w:spacing w:line="240" w:lineRule="auto"/>
              <w:jc w:val="center"/>
              <w:rPr>
                <w:rFonts w:ascii="Times New Roman" w:hAnsi="Times New Roman" w:cs="仿宋"/>
                <w:sz w:val="20"/>
                <w:szCs w:val="20"/>
                <w:highlight w:val="none"/>
              </w:rPr>
            </w:pPr>
            <w:r>
              <w:rPr>
                <w:rFonts w:hint="eastAsia" w:ascii="Times New Roman" w:hAnsi="Times New Roman" w:cs="仿宋"/>
                <w:sz w:val="20"/>
                <w:szCs w:val="20"/>
                <w:highlight w:val="none"/>
                <w:lang w:val="en-US" w:eastAsia="zh-CN"/>
              </w:rPr>
              <w:t>5</w:t>
            </w:r>
          </w:p>
        </w:tc>
        <w:tc>
          <w:tcPr>
            <w:tcW w:w="1028" w:type="dxa"/>
            <w:vAlign w:val="center"/>
          </w:tcPr>
          <w:p>
            <w:pPr>
              <w:widowControl w:val="0"/>
              <w:spacing w:line="240" w:lineRule="auto"/>
              <w:jc w:val="center"/>
              <w:rPr>
                <w:rFonts w:ascii="Times New Roman" w:hAnsi="Times New Roman" w:cs="仿宋"/>
                <w:sz w:val="20"/>
                <w:szCs w:val="20"/>
                <w:highlight w:val="none"/>
              </w:rPr>
            </w:pPr>
            <w:r>
              <w:rPr>
                <w:rFonts w:hint="eastAsia" w:ascii="Times New Roman" w:hAnsi="Times New Roman" w:cs="仿宋"/>
                <w:sz w:val="20"/>
                <w:szCs w:val="20"/>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vMerge w:val="continue"/>
            <w:vAlign w:val="center"/>
          </w:tcPr>
          <w:p>
            <w:pPr>
              <w:spacing w:line="240" w:lineRule="auto"/>
              <w:jc w:val="center"/>
              <w:rPr>
                <w:color w:val="000000"/>
                <w:sz w:val="20"/>
                <w:szCs w:val="20"/>
              </w:rPr>
            </w:pPr>
          </w:p>
        </w:tc>
        <w:tc>
          <w:tcPr>
            <w:tcW w:w="709" w:type="dxa"/>
            <w:vMerge w:val="continue"/>
            <w:vAlign w:val="center"/>
          </w:tcPr>
          <w:p>
            <w:pPr>
              <w:spacing w:line="240" w:lineRule="auto"/>
              <w:jc w:val="center"/>
              <w:rPr>
                <w:color w:val="000000"/>
                <w:sz w:val="20"/>
                <w:szCs w:val="20"/>
              </w:rPr>
            </w:pPr>
          </w:p>
        </w:tc>
        <w:tc>
          <w:tcPr>
            <w:tcW w:w="1404" w:type="dxa"/>
            <w:vMerge w:val="continue"/>
            <w:vAlign w:val="center"/>
          </w:tcPr>
          <w:p>
            <w:pPr>
              <w:widowControl w:val="0"/>
              <w:spacing w:line="240" w:lineRule="auto"/>
              <w:jc w:val="center"/>
              <w:rPr>
                <w:rFonts w:ascii="Times New Roman" w:hAnsi="Times New Roman" w:cs="仿宋"/>
                <w:sz w:val="20"/>
                <w:szCs w:val="20"/>
              </w:rPr>
            </w:pPr>
          </w:p>
        </w:tc>
        <w:tc>
          <w:tcPr>
            <w:tcW w:w="723" w:type="dxa"/>
            <w:vMerge w:val="continue"/>
            <w:vAlign w:val="center"/>
          </w:tcPr>
          <w:p>
            <w:pPr>
              <w:widowControl w:val="0"/>
              <w:spacing w:line="240" w:lineRule="auto"/>
              <w:jc w:val="center"/>
              <w:rPr>
                <w:rFonts w:hint="eastAsia" w:ascii="Times New Roman" w:hAnsi="Times New Roman" w:cs="仿宋"/>
                <w:sz w:val="20"/>
                <w:szCs w:val="20"/>
              </w:rPr>
            </w:pPr>
          </w:p>
        </w:tc>
        <w:tc>
          <w:tcPr>
            <w:tcW w:w="3597" w:type="dxa"/>
            <w:vAlign w:val="center"/>
          </w:tcPr>
          <w:p>
            <w:pPr>
              <w:widowControl w:val="0"/>
              <w:spacing w:line="240" w:lineRule="auto"/>
              <w:jc w:val="center"/>
              <w:rPr>
                <w:rFonts w:ascii="Times New Roman" w:hAnsi="Times New Roman" w:cs="仿宋"/>
                <w:sz w:val="20"/>
                <w:szCs w:val="20"/>
              </w:rPr>
            </w:pPr>
            <w:r>
              <w:rPr>
                <w:rFonts w:ascii="Times New Roman" w:hAnsi="Times New Roman" w:cs="仿宋"/>
                <w:sz w:val="20"/>
                <w:szCs w:val="20"/>
              </w:rPr>
              <w:t>C</w:t>
            </w:r>
            <w:r>
              <w:rPr>
                <w:rFonts w:hint="eastAsia" w:ascii="Times New Roman" w:hAnsi="Times New Roman" w:cs="仿宋"/>
                <w:sz w:val="20"/>
                <w:szCs w:val="20"/>
              </w:rPr>
              <w:t>4</w:t>
            </w:r>
            <w:r>
              <w:rPr>
                <w:rFonts w:hint="eastAsia" w:ascii="Times New Roman" w:hAnsi="Times New Roman" w:cs="仿宋"/>
                <w:sz w:val="20"/>
                <w:szCs w:val="20"/>
                <w:lang w:val="en-US" w:eastAsia="zh-CN"/>
              </w:rPr>
              <w:t>2</w:t>
            </w:r>
            <w:r>
              <w:rPr>
                <w:rFonts w:hint="eastAsia" w:cs="仿宋"/>
                <w:sz w:val="20"/>
                <w:szCs w:val="20"/>
              </w:rPr>
              <w:t>成本节约率</w:t>
            </w:r>
          </w:p>
        </w:tc>
        <w:tc>
          <w:tcPr>
            <w:tcW w:w="582" w:type="dxa"/>
            <w:vAlign w:val="center"/>
          </w:tcPr>
          <w:p>
            <w:pPr>
              <w:widowControl w:val="0"/>
              <w:spacing w:line="240" w:lineRule="auto"/>
              <w:jc w:val="center"/>
              <w:rPr>
                <w:rFonts w:hint="eastAsia" w:ascii="Times New Roman" w:hAnsi="Times New Roman" w:eastAsia="宋体" w:cs="仿宋"/>
                <w:sz w:val="20"/>
                <w:szCs w:val="20"/>
                <w:lang w:val="en-US" w:eastAsia="zh-CN"/>
              </w:rPr>
            </w:pPr>
            <w:r>
              <w:rPr>
                <w:rFonts w:hint="eastAsia" w:ascii="Times New Roman" w:hAnsi="Times New Roman" w:cs="仿宋"/>
                <w:sz w:val="20"/>
                <w:szCs w:val="20"/>
                <w:lang w:val="en-US" w:eastAsia="zh-CN"/>
              </w:rPr>
              <w:t>4</w:t>
            </w:r>
          </w:p>
        </w:tc>
        <w:tc>
          <w:tcPr>
            <w:tcW w:w="567" w:type="dxa"/>
            <w:vAlign w:val="center"/>
          </w:tcPr>
          <w:p>
            <w:pPr>
              <w:widowControl w:val="0"/>
              <w:spacing w:line="240" w:lineRule="auto"/>
              <w:jc w:val="center"/>
              <w:rPr>
                <w:rFonts w:hint="eastAsia" w:ascii="Times New Roman" w:hAnsi="Times New Roman" w:cs="仿宋"/>
                <w:sz w:val="20"/>
                <w:szCs w:val="20"/>
                <w:highlight w:val="none"/>
              </w:rPr>
            </w:pPr>
            <w:r>
              <w:rPr>
                <w:rFonts w:hint="eastAsia" w:ascii="Times New Roman" w:hAnsi="Times New Roman" w:cs="仿宋"/>
                <w:sz w:val="20"/>
                <w:szCs w:val="20"/>
                <w:highlight w:val="none"/>
                <w:lang w:val="en-US" w:eastAsia="zh-CN"/>
              </w:rPr>
              <w:t>4</w:t>
            </w:r>
          </w:p>
        </w:tc>
        <w:tc>
          <w:tcPr>
            <w:tcW w:w="1028" w:type="dxa"/>
            <w:vAlign w:val="center"/>
          </w:tcPr>
          <w:p>
            <w:pPr>
              <w:widowControl w:val="0"/>
              <w:spacing w:line="240" w:lineRule="auto"/>
              <w:jc w:val="center"/>
              <w:rPr>
                <w:rFonts w:hint="eastAsia" w:ascii="Times New Roman" w:hAnsi="Times New Roman" w:cs="仿宋"/>
                <w:sz w:val="20"/>
                <w:szCs w:val="20"/>
                <w:highlight w:val="none"/>
              </w:rPr>
            </w:pPr>
            <w:r>
              <w:rPr>
                <w:rFonts w:hint="eastAsia" w:ascii="Times New Roman" w:hAnsi="Times New Roman" w:cs="仿宋"/>
                <w:sz w:val="20"/>
                <w:szCs w:val="20"/>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vAlign w:val="center"/>
          </w:tcPr>
          <w:p>
            <w:pPr>
              <w:spacing w:line="240" w:lineRule="auto"/>
              <w:jc w:val="center"/>
              <w:rPr>
                <w:color w:val="000000"/>
                <w:sz w:val="20"/>
                <w:szCs w:val="20"/>
              </w:rPr>
            </w:pPr>
            <w:r>
              <w:rPr>
                <w:rFonts w:hint="eastAsia"/>
                <w:color w:val="000000"/>
                <w:sz w:val="20"/>
                <w:szCs w:val="20"/>
              </w:rPr>
              <w:t>合计</w:t>
            </w:r>
          </w:p>
        </w:tc>
        <w:tc>
          <w:tcPr>
            <w:tcW w:w="709" w:type="dxa"/>
            <w:vAlign w:val="center"/>
          </w:tcPr>
          <w:p>
            <w:pPr>
              <w:spacing w:line="240" w:lineRule="auto"/>
              <w:jc w:val="center"/>
              <w:rPr>
                <w:color w:val="000000"/>
                <w:sz w:val="20"/>
                <w:szCs w:val="20"/>
              </w:rPr>
            </w:pPr>
            <w:r>
              <w:rPr>
                <w:color w:val="000000"/>
                <w:sz w:val="20"/>
                <w:szCs w:val="20"/>
              </w:rPr>
              <w:t>30</w:t>
            </w:r>
          </w:p>
        </w:tc>
        <w:tc>
          <w:tcPr>
            <w:tcW w:w="1404" w:type="dxa"/>
            <w:vAlign w:val="center"/>
          </w:tcPr>
          <w:p>
            <w:pPr>
              <w:widowControl w:val="0"/>
              <w:spacing w:line="240" w:lineRule="auto"/>
              <w:jc w:val="center"/>
              <w:rPr>
                <w:rFonts w:ascii="Times New Roman" w:hAnsi="Times New Roman" w:cs="仿宋"/>
                <w:sz w:val="20"/>
                <w:szCs w:val="20"/>
              </w:rPr>
            </w:pPr>
          </w:p>
        </w:tc>
        <w:tc>
          <w:tcPr>
            <w:tcW w:w="723" w:type="dxa"/>
            <w:vAlign w:val="center"/>
          </w:tcPr>
          <w:p>
            <w:pPr>
              <w:widowControl w:val="0"/>
              <w:spacing w:line="240" w:lineRule="auto"/>
              <w:jc w:val="center"/>
              <w:rPr>
                <w:rFonts w:ascii="Times New Roman" w:hAnsi="Times New Roman" w:cs="仿宋"/>
                <w:sz w:val="20"/>
                <w:szCs w:val="20"/>
              </w:rPr>
            </w:pPr>
            <w:r>
              <w:rPr>
                <w:rFonts w:hint="eastAsia" w:ascii="Times New Roman" w:hAnsi="Times New Roman" w:cs="仿宋"/>
                <w:sz w:val="20"/>
                <w:szCs w:val="20"/>
              </w:rPr>
              <w:t>30</w:t>
            </w:r>
          </w:p>
        </w:tc>
        <w:tc>
          <w:tcPr>
            <w:tcW w:w="3597" w:type="dxa"/>
            <w:vAlign w:val="center"/>
          </w:tcPr>
          <w:p>
            <w:pPr>
              <w:widowControl w:val="0"/>
              <w:spacing w:line="240" w:lineRule="auto"/>
              <w:jc w:val="center"/>
              <w:rPr>
                <w:rFonts w:ascii="Times New Roman" w:hAnsi="Times New Roman" w:cs="仿宋"/>
                <w:sz w:val="20"/>
                <w:szCs w:val="20"/>
              </w:rPr>
            </w:pPr>
          </w:p>
        </w:tc>
        <w:tc>
          <w:tcPr>
            <w:tcW w:w="582" w:type="dxa"/>
            <w:vAlign w:val="center"/>
          </w:tcPr>
          <w:p>
            <w:pPr>
              <w:widowControl w:val="0"/>
              <w:spacing w:line="240" w:lineRule="auto"/>
              <w:jc w:val="center"/>
              <w:rPr>
                <w:rFonts w:ascii="Times New Roman" w:hAnsi="Times New Roman" w:cs="仿宋"/>
                <w:sz w:val="20"/>
                <w:szCs w:val="20"/>
              </w:rPr>
            </w:pPr>
            <w:r>
              <w:rPr>
                <w:rFonts w:hint="eastAsia" w:ascii="Times New Roman" w:hAnsi="Times New Roman" w:cs="仿宋"/>
                <w:sz w:val="20"/>
                <w:szCs w:val="20"/>
              </w:rPr>
              <w:t>30</w:t>
            </w:r>
          </w:p>
        </w:tc>
        <w:tc>
          <w:tcPr>
            <w:tcW w:w="567" w:type="dxa"/>
            <w:vAlign w:val="center"/>
          </w:tcPr>
          <w:p>
            <w:pPr>
              <w:widowControl w:val="0"/>
              <w:spacing w:line="240" w:lineRule="auto"/>
              <w:jc w:val="center"/>
              <w:rPr>
                <w:rFonts w:ascii="Times New Roman" w:hAnsi="Times New Roman" w:cs="仿宋"/>
                <w:sz w:val="20"/>
                <w:szCs w:val="20"/>
                <w:highlight w:val="none"/>
              </w:rPr>
            </w:pPr>
            <w:r>
              <w:rPr>
                <w:rFonts w:hint="eastAsia" w:ascii="Times New Roman" w:hAnsi="Times New Roman" w:cs="仿宋"/>
                <w:sz w:val="20"/>
                <w:szCs w:val="20"/>
              </w:rPr>
              <w:t>30</w:t>
            </w:r>
          </w:p>
        </w:tc>
        <w:tc>
          <w:tcPr>
            <w:tcW w:w="1028" w:type="dxa"/>
            <w:vAlign w:val="center"/>
          </w:tcPr>
          <w:p>
            <w:pPr>
              <w:widowControl w:val="0"/>
              <w:spacing w:line="240" w:lineRule="auto"/>
              <w:jc w:val="center"/>
              <w:rPr>
                <w:rFonts w:ascii="Times New Roman" w:hAnsi="Times New Roman" w:cs="仿宋"/>
                <w:sz w:val="20"/>
                <w:szCs w:val="20"/>
                <w:highlight w:val="none"/>
              </w:rPr>
            </w:pPr>
            <w:r>
              <w:rPr>
                <w:rFonts w:hint="eastAsia" w:ascii="Times New Roman" w:hAnsi="Times New Roman" w:cs="仿宋"/>
                <w:sz w:val="20"/>
                <w:szCs w:val="20"/>
                <w:highlight w:val="none"/>
              </w:rPr>
              <w:t>100</w:t>
            </w:r>
          </w:p>
        </w:tc>
      </w:tr>
    </w:tbl>
    <w:p>
      <w:pPr>
        <w:widowControl w:val="0"/>
        <w:spacing w:before="100" w:beforeAutospacing="1"/>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Times New Roman" w:hAnsi="Times New Roman" w:eastAsia="仿宋_GB2312" w:cs="仿宋"/>
          <w:sz w:val="32"/>
          <w:szCs w:val="32"/>
        </w:rPr>
        <w:t>1</w:t>
      </w:r>
      <w:r>
        <w:rPr>
          <w:rFonts w:hint="eastAsia" w:ascii="仿宋_GB2312" w:hAnsi="仿宋" w:eastAsia="仿宋_GB2312" w:cs="仿宋"/>
          <w:sz w:val="32"/>
          <w:szCs w:val="32"/>
        </w:rPr>
        <w:t>）</w:t>
      </w:r>
      <w:r>
        <w:rPr>
          <w:rFonts w:hint="eastAsia" w:ascii="Times New Roman" w:hAnsi="Times New Roman" w:eastAsia="仿宋_GB2312" w:cs="仿宋"/>
          <w:sz w:val="32"/>
          <w:szCs w:val="32"/>
        </w:rPr>
        <w:t>C11</w:t>
      </w:r>
      <w:r>
        <w:rPr>
          <w:rFonts w:hint="eastAsia" w:ascii="仿宋_GB2312" w:hAnsi="仿宋" w:eastAsia="仿宋_GB2312" w:cs="仿宋"/>
          <w:sz w:val="32"/>
          <w:szCs w:val="32"/>
        </w:rPr>
        <w:t>工程</w:t>
      </w:r>
      <w:r>
        <w:rPr>
          <w:rFonts w:hint="eastAsia" w:ascii="仿宋_GB2312" w:hAnsi="仿宋" w:eastAsia="仿宋_GB2312" w:cs="仿宋"/>
          <w:sz w:val="32"/>
          <w:szCs w:val="32"/>
          <w:lang w:val="en-US" w:eastAsia="zh-CN"/>
        </w:rPr>
        <w:t>建设</w:t>
      </w:r>
      <w:r>
        <w:rPr>
          <w:rFonts w:hint="eastAsia" w:ascii="仿宋_GB2312" w:hAnsi="仿宋" w:eastAsia="仿宋_GB2312" w:cs="仿宋"/>
          <w:sz w:val="32"/>
          <w:szCs w:val="32"/>
        </w:rPr>
        <w:t>完成率（</w:t>
      </w:r>
      <w:r>
        <w:rPr>
          <w:rFonts w:hint="eastAsia" w:ascii="Times New Roman" w:hAnsi="Times New Roman" w:eastAsia="仿宋_GB2312" w:cs="仿宋"/>
          <w:sz w:val="32"/>
          <w:szCs w:val="32"/>
          <w:lang w:val="en-US" w:eastAsia="zh-CN"/>
        </w:rPr>
        <w:t>8</w:t>
      </w:r>
      <w:r>
        <w:rPr>
          <w:rFonts w:hint="eastAsia" w:ascii="仿宋_GB2312" w:hAnsi="仿宋" w:eastAsia="仿宋_GB2312" w:cs="仿宋"/>
          <w:sz w:val="32"/>
          <w:szCs w:val="32"/>
        </w:rPr>
        <w:t>分）。本指标主要考察项目实施的实际产出数与计划产出数的比率，用以反映和考核项目产出数量目标的实现程度。</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评价组通过对项目实施单位提供的资料进行整理和分析，结合现场核实情况，</w:t>
      </w:r>
      <w:r>
        <w:rPr>
          <w:rFonts w:hint="eastAsia" w:ascii="仿宋_GB2312" w:hAnsi="仿宋" w:eastAsia="仿宋_GB2312" w:cs="仿宋"/>
          <w:sz w:val="32"/>
          <w:szCs w:val="32"/>
          <w:lang w:val="en-US" w:eastAsia="zh-CN"/>
        </w:rPr>
        <w:t>2019年平陆县圣人涧镇营村村一组至二组道路建设工程项目申报目标道路硬化总长度</w:t>
      </w:r>
      <w:r>
        <w:rPr>
          <w:rFonts w:hint="eastAsia" w:ascii="Times New Roman" w:hAnsi="Times New Roman" w:eastAsia="仿宋_GB2312" w:cs="仿宋_GB2312"/>
          <w:sz w:val="32"/>
          <w:szCs w:val="32"/>
        </w:rPr>
        <w:t>4.5</w:t>
      </w:r>
      <w:r>
        <w:rPr>
          <w:rFonts w:hint="eastAsia" w:ascii="仿宋_GB2312" w:hAnsi="仿宋_GB2312" w:eastAsia="仿宋_GB2312" w:cs="仿宋_GB2312"/>
          <w:sz w:val="32"/>
          <w:szCs w:val="32"/>
        </w:rPr>
        <w:t>公里</w:t>
      </w:r>
      <w:r>
        <w:rPr>
          <w:rFonts w:hint="eastAsia" w:ascii="仿宋_GB2312" w:hAnsi="仿宋_GB2312" w:eastAsia="仿宋_GB2312" w:cs="仿宋_GB2312"/>
          <w:sz w:val="32"/>
          <w:szCs w:val="32"/>
          <w:lang w:val="en-US" w:eastAsia="zh-CN"/>
        </w:rPr>
        <w:t>列入计划，</w:t>
      </w:r>
      <w:r>
        <w:rPr>
          <w:rFonts w:hint="eastAsia" w:ascii="仿宋_GB2312" w:hAnsi="仿宋" w:eastAsia="仿宋_GB2312" w:cs="仿宋"/>
          <w:sz w:val="32"/>
          <w:szCs w:val="32"/>
          <w:lang w:val="en-US" w:eastAsia="zh-CN"/>
        </w:rPr>
        <w:t>招标时根据实际地势情况进行路线优化，</w:t>
      </w:r>
      <w:r>
        <w:rPr>
          <w:rFonts w:hint="eastAsia" w:ascii="仿宋_GB2312" w:hAnsi="仿宋_GB2312" w:eastAsia="仿宋_GB2312" w:cs="仿宋_GB2312"/>
          <w:sz w:val="32"/>
          <w:szCs w:val="32"/>
          <w:lang w:val="en-US" w:eastAsia="zh-CN"/>
        </w:rPr>
        <w:t>合同实际签订工程量</w:t>
      </w:r>
      <w:r>
        <w:rPr>
          <w:rFonts w:hint="eastAsia" w:ascii="Times New Roman" w:hAnsi="Times New Roman" w:eastAsia="仿宋_GB2312" w:cs="仿宋_GB2312"/>
          <w:sz w:val="32"/>
          <w:szCs w:val="32"/>
          <w:lang w:val="en-US" w:eastAsia="zh-CN"/>
        </w:rPr>
        <w:t>3.94</w:t>
      </w:r>
      <w:r>
        <w:rPr>
          <w:rFonts w:hint="eastAsia" w:ascii="仿宋_GB2312" w:hAnsi="仿宋_GB2312" w:eastAsia="仿宋_GB2312" w:cs="仿宋_GB2312"/>
          <w:sz w:val="32"/>
          <w:szCs w:val="32"/>
        </w:rPr>
        <w:t>公里</w:t>
      </w:r>
      <w:r>
        <w:rPr>
          <w:rFonts w:hint="eastAsia" w:ascii="仿宋_GB2312" w:hAnsi="仿宋_GB2312" w:eastAsia="仿宋_GB2312" w:cs="仿宋_GB2312"/>
          <w:sz w:val="32"/>
          <w:szCs w:val="32"/>
          <w:lang w:eastAsia="zh-CN"/>
        </w:rPr>
        <w:t>，</w:t>
      </w:r>
      <w:r>
        <w:rPr>
          <w:rFonts w:hint="eastAsia" w:ascii="仿宋_GB2312" w:hAnsi="仿宋" w:eastAsia="仿宋_GB2312" w:cs="仿宋"/>
          <w:sz w:val="32"/>
          <w:szCs w:val="32"/>
        </w:rPr>
        <w:t>实际完成</w:t>
      </w:r>
      <w:r>
        <w:rPr>
          <w:rFonts w:hint="eastAsia" w:ascii="仿宋_GB2312" w:hAnsi="仿宋_GB2312" w:eastAsia="仿宋_GB2312" w:cs="仿宋_GB2312"/>
          <w:sz w:val="32"/>
          <w:szCs w:val="32"/>
        </w:rPr>
        <w:t>硬化道路</w:t>
      </w:r>
      <w:r>
        <w:rPr>
          <w:rFonts w:hint="eastAsia" w:ascii="Times New Roman" w:hAnsi="Times New Roman" w:eastAsia="仿宋_GB2312" w:cs="仿宋_GB2312"/>
          <w:sz w:val="32"/>
          <w:szCs w:val="32"/>
          <w:lang w:val="en-US" w:eastAsia="zh-CN"/>
        </w:rPr>
        <w:t>3.94</w:t>
      </w:r>
      <w:r>
        <w:rPr>
          <w:rFonts w:hint="eastAsia" w:ascii="仿宋_GB2312" w:hAnsi="仿宋_GB2312" w:eastAsia="仿宋_GB2312" w:cs="仿宋_GB2312"/>
          <w:sz w:val="32"/>
          <w:szCs w:val="32"/>
        </w:rPr>
        <w:t>公里</w:t>
      </w:r>
      <w:r>
        <w:rPr>
          <w:rFonts w:ascii="仿宋_GB2312" w:hAnsi="仿宋" w:eastAsia="仿宋_GB2312" w:cs="仿宋"/>
          <w:sz w:val="32"/>
          <w:szCs w:val="32"/>
        </w:rPr>
        <w:t>。</w:t>
      </w:r>
    </w:p>
    <w:p>
      <w:pPr>
        <w:widowControl w:val="0"/>
        <w:ind w:firstLine="640" w:firstLineChars="200"/>
        <w:rPr>
          <w:rFonts w:ascii="仿宋" w:hAnsi="仿宋" w:eastAsia="仿宋" w:cs="仿宋"/>
          <w:sz w:val="32"/>
          <w:szCs w:val="32"/>
        </w:rPr>
      </w:pPr>
      <w:r>
        <w:rPr>
          <w:rFonts w:hint="eastAsia" w:ascii="仿宋_GB2312" w:hAnsi="仿宋" w:eastAsia="仿宋_GB2312" w:cs="仿宋_GB2312"/>
          <w:sz w:val="32"/>
          <w:szCs w:val="32"/>
        </w:rPr>
        <w:t>根据</w:t>
      </w:r>
      <w:r>
        <w:rPr>
          <w:rFonts w:hint="eastAsia" w:ascii="仿宋_GB2312" w:hAnsi="仿宋" w:eastAsia="仿宋_GB2312" w:cs="仿宋"/>
          <w:sz w:val="32"/>
          <w:szCs w:val="32"/>
        </w:rPr>
        <w:t>设置的指标体系中</w:t>
      </w:r>
      <w:r>
        <w:rPr>
          <w:rFonts w:hint="eastAsia" w:ascii="仿宋_GB2312" w:hAnsi="仿宋" w:eastAsia="仿宋_GB2312" w:cs="仿宋_GB2312"/>
          <w:sz w:val="32"/>
          <w:szCs w:val="32"/>
        </w:rPr>
        <w:t>确定的评分标准和评分办法，该项指标</w:t>
      </w:r>
      <w:r>
        <w:rPr>
          <w:rFonts w:hint="eastAsia" w:ascii="仿宋_GB2312" w:hAnsi="仿宋" w:eastAsia="仿宋_GB2312" w:cs="仿宋_GB2312"/>
          <w:sz w:val="32"/>
          <w:szCs w:val="32"/>
          <w:lang w:val="en-US" w:eastAsia="zh-CN"/>
        </w:rPr>
        <w:t>不</w:t>
      </w:r>
      <w:r>
        <w:rPr>
          <w:rFonts w:hint="eastAsia" w:ascii="仿宋_GB2312" w:hAnsi="仿宋" w:eastAsia="仿宋_GB2312" w:cs="仿宋_GB2312"/>
          <w:sz w:val="32"/>
          <w:szCs w:val="32"/>
        </w:rPr>
        <w:t>扣分，得</w:t>
      </w:r>
      <w:r>
        <w:rPr>
          <w:rFonts w:hint="eastAsia" w:ascii="Times New Roman" w:hAnsi="Times New Roman" w:eastAsia="仿宋_GB2312" w:cs="仿宋_GB2312"/>
          <w:sz w:val="32"/>
          <w:szCs w:val="32"/>
          <w:lang w:val="en-US" w:eastAsia="zh-CN"/>
        </w:rPr>
        <w:t>8</w:t>
      </w:r>
      <w:r>
        <w:rPr>
          <w:rFonts w:hint="eastAsia" w:ascii="仿宋_GB2312" w:hAnsi="仿宋" w:eastAsia="仿宋_GB2312" w:cs="仿宋_GB2312"/>
          <w:sz w:val="32"/>
          <w:szCs w:val="32"/>
        </w:rPr>
        <w:t>分，得分率为</w:t>
      </w:r>
      <w:r>
        <w:rPr>
          <w:rFonts w:hint="eastAsia" w:ascii="Times New Roman" w:hAnsi="Times New Roman" w:eastAsia="仿宋_GB2312" w:cs="仿宋_GB2312"/>
          <w:sz w:val="32"/>
          <w:szCs w:val="32"/>
          <w:lang w:val="en-US" w:eastAsia="zh-CN"/>
        </w:rPr>
        <w:t>100</w:t>
      </w:r>
      <w:r>
        <w:rPr>
          <w:rFonts w:hint="eastAsia" w:ascii="仿宋_GB2312" w:hAnsi="仿宋" w:eastAsia="仿宋_GB2312" w:cs="仿宋_GB2312"/>
          <w:sz w:val="32"/>
          <w:szCs w:val="32"/>
        </w:rPr>
        <w:t>%。</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Times New Roman" w:hAnsi="Times New Roman" w:eastAsia="仿宋_GB2312" w:cs="仿宋"/>
          <w:sz w:val="32"/>
          <w:szCs w:val="32"/>
          <w:lang w:val="en-US" w:eastAsia="zh-CN"/>
        </w:rPr>
        <w:t>2</w:t>
      </w:r>
      <w:r>
        <w:rPr>
          <w:rFonts w:hint="eastAsia" w:ascii="仿宋_GB2312" w:hAnsi="仿宋" w:eastAsia="仿宋_GB2312" w:cs="仿宋"/>
          <w:sz w:val="32"/>
          <w:szCs w:val="32"/>
        </w:rPr>
        <w:t>）</w:t>
      </w:r>
      <w:r>
        <w:rPr>
          <w:rFonts w:hint="eastAsia" w:ascii="Times New Roman" w:hAnsi="Times New Roman" w:eastAsia="仿宋_GB2312" w:cs="仿宋"/>
          <w:sz w:val="32"/>
          <w:szCs w:val="32"/>
        </w:rPr>
        <w:t>C21</w:t>
      </w:r>
      <w:r>
        <w:rPr>
          <w:rFonts w:hint="eastAsia" w:ascii="仿宋_GB2312" w:hAnsi="仿宋" w:eastAsia="仿宋_GB2312" w:cs="仿宋"/>
          <w:sz w:val="32"/>
          <w:szCs w:val="32"/>
          <w:lang w:val="en-US" w:eastAsia="zh-CN"/>
        </w:rPr>
        <w:t>工程</w:t>
      </w:r>
      <w:r>
        <w:rPr>
          <w:rFonts w:hint="eastAsia" w:ascii="仿宋_GB2312" w:hAnsi="仿宋" w:eastAsia="仿宋_GB2312" w:cs="仿宋"/>
          <w:sz w:val="32"/>
          <w:szCs w:val="32"/>
        </w:rPr>
        <w:t>验收合格率（</w:t>
      </w:r>
      <w:r>
        <w:rPr>
          <w:rFonts w:hint="eastAsia" w:ascii="Times New Roman" w:hAnsi="Times New Roman" w:eastAsia="仿宋_GB2312" w:cs="仿宋"/>
          <w:sz w:val="32"/>
          <w:szCs w:val="32"/>
          <w:lang w:val="en-US" w:eastAsia="zh-CN"/>
        </w:rPr>
        <w:t>7</w:t>
      </w:r>
      <w:r>
        <w:rPr>
          <w:rFonts w:hint="eastAsia" w:ascii="仿宋_GB2312" w:hAnsi="仿宋" w:eastAsia="仿宋_GB2312" w:cs="仿宋"/>
          <w:sz w:val="32"/>
          <w:szCs w:val="32"/>
        </w:rPr>
        <w:t>分）。本指标主要考察项目完成的工程质量达标产出数与实际产出数的比率，用以反映和考核项目产出质量目标的实现程度。</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评价组通过对项目实施单位提供的资料进行整理和分析，结合现场核实，了解到</w:t>
      </w:r>
      <w:r>
        <w:rPr>
          <w:rFonts w:hint="eastAsia" w:ascii="仿宋_GB2312" w:hAnsi="仿宋" w:eastAsia="仿宋_GB2312"/>
          <w:sz w:val="32"/>
          <w:szCs w:val="32"/>
        </w:rPr>
        <w:t>项目建设完成后，</w:t>
      </w:r>
      <w:r>
        <w:rPr>
          <w:rFonts w:hint="eastAsia" w:ascii="仿宋_GB2312" w:hAnsi="仿宋_GB2312" w:eastAsia="仿宋_GB2312" w:cs="仿宋_GB2312"/>
          <w:sz w:val="32"/>
          <w:szCs w:val="32"/>
        </w:rPr>
        <w:t>先由施工单位自检，监理单位抽检，然后于</w:t>
      </w:r>
      <w:r>
        <w:rPr>
          <w:rFonts w:hint="eastAsia" w:ascii="Times New Roman" w:hAnsi="Times New Roman" w:eastAsia="仿宋_GB2312" w:cs="仿宋_GB2312"/>
          <w:sz w:val="32"/>
          <w:szCs w:val="32"/>
        </w:rPr>
        <w:t>2019</w:t>
      </w:r>
      <w:r>
        <w:rPr>
          <w:rFonts w:hint="eastAsia" w:ascii="仿宋_GB2312" w:hAnsi="仿宋_GB2312" w:eastAsia="仿宋_GB2312" w:cs="仿宋_GB2312"/>
          <w:sz w:val="32"/>
          <w:szCs w:val="32"/>
        </w:rPr>
        <w:t>年</w:t>
      </w:r>
      <w:r>
        <w:rPr>
          <w:rFonts w:hint="eastAsia" w:ascii="Times New Roman" w:hAnsi="Times New Roman" w:eastAsia="仿宋_GB2312" w:cs="仿宋_GB2312"/>
          <w:sz w:val="32"/>
          <w:szCs w:val="32"/>
        </w:rPr>
        <w:t>12</w:t>
      </w:r>
      <w:r>
        <w:rPr>
          <w:rFonts w:hint="eastAsia" w:ascii="仿宋_GB2312" w:hAnsi="仿宋_GB2312" w:eastAsia="仿宋_GB2312" w:cs="仿宋_GB2312"/>
          <w:sz w:val="32"/>
          <w:szCs w:val="32"/>
        </w:rPr>
        <w:t>月</w:t>
      </w:r>
      <w:r>
        <w:rPr>
          <w:rFonts w:hint="eastAsia" w:ascii="Times New Roman" w:hAnsi="Times New Roman" w:eastAsia="仿宋_GB2312" w:cs="仿宋_GB2312"/>
          <w:sz w:val="32"/>
          <w:szCs w:val="32"/>
        </w:rPr>
        <w:t>22</w:t>
      </w:r>
      <w:r>
        <w:rPr>
          <w:rFonts w:hint="eastAsia" w:ascii="仿宋_GB2312" w:hAnsi="仿宋_GB2312" w:eastAsia="仿宋_GB2312" w:cs="仿宋_GB2312"/>
          <w:sz w:val="32"/>
          <w:szCs w:val="32"/>
        </w:rPr>
        <w:t>日，由平陆县圣人涧镇人民政府组织，同监理单位（河南中建工程技术有限公司）、设计单位（三门峡市海地公路勘察设计有限公司）和施工单位（平陆县建筑工程公司）共同验收，出具竣工验收</w:t>
      </w:r>
      <w:r>
        <w:rPr>
          <w:rFonts w:hint="eastAsia" w:ascii="仿宋_GB2312" w:hAnsi="仿宋_GB2312" w:eastAsia="仿宋_GB2312" w:cs="仿宋_GB2312"/>
          <w:sz w:val="32"/>
          <w:szCs w:val="32"/>
          <w:lang w:val="en-US" w:eastAsia="zh-CN"/>
        </w:rPr>
        <w:t>证明书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工程质量合格</w:t>
      </w:r>
      <w:r>
        <w:rPr>
          <w:rFonts w:hint="eastAsia" w:ascii="仿宋" w:hAnsi="仿宋" w:eastAsia="仿宋_GB2312"/>
          <w:bCs/>
          <w:sz w:val="32"/>
          <w:szCs w:val="32"/>
          <w:lang w:eastAsia="zh-CN"/>
        </w:rPr>
        <w:t>，</w:t>
      </w:r>
      <w:r>
        <w:rPr>
          <w:rFonts w:hint="eastAsia" w:ascii="仿宋_GB2312" w:hAnsi="仿宋" w:eastAsia="仿宋_GB2312"/>
          <w:sz w:val="32"/>
          <w:szCs w:val="32"/>
        </w:rPr>
        <w:t>通过验收。</w:t>
      </w:r>
      <w:r>
        <w:rPr>
          <w:rFonts w:hint="eastAsia" w:ascii="仿宋_GB2312" w:hAnsi="仿宋" w:eastAsia="仿宋_GB2312" w:cs="仿宋"/>
          <w:sz w:val="32"/>
          <w:szCs w:val="32"/>
        </w:rPr>
        <w:t>实施单位</w:t>
      </w:r>
      <w:r>
        <w:rPr>
          <w:rFonts w:hint="eastAsia" w:ascii="仿宋_GB2312" w:hAnsi="仿宋" w:eastAsia="仿宋_GB2312" w:cs="仿宋_GB2312"/>
          <w:sz w:val="32"/>
          <w:szCs w:val="32"/>
        </w:rPr>
        <w:t>委托第三方对项目工程建设情况进行审核，出具</w:t>
      </w:r>
      <w:r>
        <w:rPr>
          <w:rFonts w:hint="eastAsia" w:ascii="仿宋_GB2312" w:hAnsi="仿宋" w:eastAsia="仿宋_GB2312" w:cs="仿宋"/>
          <w:sz w:val="32"/>
          <w:szCs w:val="32"/>
          <w:lang w:val="en-US" w:eastAsia="zh-CN"/>
        </w:rPr>
        <w:t>工程</w:t>
      </w:r>
      <w:r>
        <w:rPr>
          <w:rFonts w:hint="eastAsia" w:ascii="仿宋_GB2312" w:hAnsi="仿宋" w:eastAsia="仿宋_GB2312" w:cs="仿宋"/>
          <w:sz w:val="32"/>
          <w:szCs w:val="32"/>
        </w:rPr>
        <w:t>结算审核</w:t>
      </w:r>
      <w:r>
        <w:rPr>
          <w:rFonts w:hint="eastAsia" w:ascii="仿宋_GB2312" w:hAnsi="仿宋" w:eastAsia="仿宋_GB2312" w:cs="仿宋"/>
          <w:sz w:val="32"/>
          <w:szCs w:val="32"/>
          <w:lang w:val="en-US" w:eastAsia="zh-CN"/>
        </w:rPr>
        <w:t>报告，</w:t>
      </w:r>
      <w:r>
        <w:rPr>
          <w:rFonts w:hint="eastAsia" w:ascii="仿宋_GB2312" w:hAnsi="仿宋" w:eastAsia="仿宋_GB2312" w:cs="仿宋_GB2312"/>
          <w:sz w:val="32"/>
          <w:szCs w:val="32"/>
        </w:rPr>
        <w:t>工程验收合格率得到保障。</w:t>
      </w:r>
    </w:p>
    <w:p>
      <w:pPr>
        <w:widowControl w:val="0"/>
        <w:ind w:firstLine="640" w:firstLineChars="200"/>
        <w:rPr>
          <w:rFonts w:ascii="仿宋" w:hAnsi="仿宋" w:eastAsia="仿宋" w:cs="仿宋"/>
          <w:sz w:val="32"/>
          <w:szCs w:val="32"/>
        </w:rPr>
      </w:pPr>
      <w:r>
        <w:rPr>
          <w:rFonts w:hint="eastAsia" w:ascii="仿宋_GB2312" w:hAnsi="仿宋" w:eastAsia="仿宋_GB2312" w:cs="仿宋_GB2312"/>
          <w:sz w:val="32"/>
          <w:szCs w:val="32"/>
        </w:rPr>
        <w:t>根据</w:t>
      </w:r>
      <w:r>
        <w:rPr>
          <w:rFonts w:hint="eastAsia" w:ascii="仿宋_GB2312" w:hAnsi="仿宋" w:eastAsia="仿宋_GB2312" w:cs="仿宋"/>
          <w:sz w:val="32"/>
          <w:szCs w:val="32"/>
        </w:rPr>
        <w:t>设置的指标体系中</w:t>
      </w:r>
      <w:r>
        <w:rPr>
          <w:rFonts w:hint="eastAsia" w:ascii="仿宋_GB2312" w:hAnsi="仿宋" w:eastAsia="仿宋_GB2312" w:cs="仿宋_GB2312"/>
          <w:sz w:val="32"/>
          <w:szCs w:val="32"/>
        </w:rPr>
        <w:t>确定的评分标准和评分办法，该项指标不扣分，得</w:t>
      </w:r>
      <w:r>
        <w:rPr>
          <w:rFonts w:hint="eastAsia" w:ascii="Times New Roman" w:hAnsi="Times New Roman" w:eastAsia="仿宋_GB2312" w:cs="仿宋_GB2312"/>
          <w:sz w:val="32"/>
          <w:szCs w:val="32"/>
          <w:lang w:val="en-US" w:eastAsia="zh-CN"/>
        </w:rPr>
        <w:t>7</w:t>
      </w:r>
      <w:r>
        <w:rPr>
          <w:rFonts w:hint="eastAsia" w:ascii="仿宋_GB2312" w:hAnsi="仿宋" w:eastAsia="仿宋_GB2312" w:cs="仿宋_GB2312"/>
          <w:sz w:val="32"/>
          <w:szCs w:val="32"/>
        </w:rPr>
        <w:t>分，得分率为</w:t>
      </w:r>
      <w:r>
        <w:rPr>
          <w:rFonts w:hint="eastAsia" w:ascii="Times New Roman" w:hAnsi="Times New Roman" w:eastAsia="仿宋_GB2312" w:cs="仿宋_GB2312"/>
          <w:sz w:val="32"/>
          <w:szCs w:val="32"/>
        </w:rPr>
        <w:t>100</w:t>
      </w:r>
      <w:r>
        <w:rPr>
          <w:rFonts w:hint="eastAsia" w:ascii="仿宋_GB2312" w:hAnsi="仿宋" w:eastAsia="仿宋_GB2312" w:cs="仿宋_GB2312"/>
          <w:sz w:val="32"/>
          <w:szCs w:val="32"/>
        </w:rPr>
        <w:t>%。</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Times New Roman" w:hAnsi="Times New Roman" w:eastAsia="仿宋_GB2312" w:cs="仿宋"/>
          <w:sz w:val="32"/>
          <w:szCs w:val="32"/>
          <w:lang w:val="en-US" w:eastAsia="zh-CN"/>
        </w:rPr>
        <w:t>3</w:t>
      </w:r>
      <w:r>
        <w:rPr>
          <w:rFonts w:hint="eastAsia" w:ascii="仿宋_GB2312" w:hAnsi="仿宋" w:eastAsia="仿宋_GB2312" w:cs="仿宋"/>
          <w:sz w:val="32"/>
          <w:szCs w:val="32"/>
        </w:rPr>
        <w:t>）</w:t>
      </w:r>
      <w:r>
        <w:rPr>
          <w:rFonts w:hint="eastAsia" w:ascii="Times New Roman" w:hAnsi="Times New Roman" w:eastAsia="仿宋_GB2312" w:cs="仿宋"/>
          <w:sz w:val="32"/>
          <w:szCs w:val="32"/>
        </w:rPr>
        <w:t>C31</w:t>
      </w:r>
      <w:r>
        <w:rPr>
          <w:rFonts w:hint="eastAsia" w:ascii="仿宋_GB2312" w:hAnsi="仿宋" w:eastAsia="仿宋_GB2312" w:cs="仿宋"/>
          <w:sz w:val="32"/>
          <w:szCs w:val="32"/>
          <w:lang w:val="en-US" w:eastAsia="zh-CN"/>
        </w:rPr>
        <w:t>完成</w:t>
      </w:r>
      <w:r>
        <w:rPr>
          <w:rFonts w:hint="eastAsia" w:ascii="仿宋_GB2312" w:hAnsi="仿宋" w:eastAsia="仿宋_GB2312" w:cs="仿宋"/>
          <w:sz w:val="32"/>
          <w:szCs w:val="32"/>
        </w:rPr>
        <w:t>及时率（</w:t>
      </w:r>
      <w:r>
        <w:rPr>
          <w:rFonts w:hint="eastAsia" w:ascii="Times New Roman" w:hAnsi="Times New Roman" w:eastAsia="仿宋_GB2312" w:cs="仿宋"/>
          <w:sz w:val="32"/>
          <w:szCs w:val="32"/>
          <w:lang w:val="en-US" w:eastAsia="zh-CN"/>
        </w:rPr>
        <w:t>6</w:t>
      </w:r>
      <w:r>
        <w:rPr>
          <w:rFonts w:hint="eastAsia" w:ascii="仿宋_GB2312" w:hAnsi="仿宋" w:eastAsia="仿宋_GB2312" w:cs="仿宋"/>
          <w:sz w:val="32"/>
          <w:szCs w:val="32"/>
        </w:rPr>
        <w:t>分）。本指标主要考察项目实际完成时间是否在合同约定时间内，用以反映和考核项目产出时效目标的实现程度。</w:t>
      </w:r>
    </w:p>
    <w:p>
      <w:pPr>
        <w:widowControl w:val="0"/>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评价组通过对项目实施单位提供的资料进行整理和分析，结合现场核实，平陆县</w:t>
      </w:r>
      <w:r>
        <w:rPr>
          <w:rFonts w:hint="eastAsia" w:ascii="仿宋_GB2312" w:hAnsi="仿宋" w:eastAsia="仿宋_GB2312" w:cs="仿宋"/>
          <w:sz w:val="32"/>
          <w:szCs w:val="32"/>
          <w:lang w:val="en-US" w:eastAsia="zh-CN"/>
        </w:rPr>
        <w:t>圣人涧镇营村村一组至二组道路</w:t>
      </w:r>
      <w:r>
        <w:rPr>
          <w:rFonts w:hint="eastAsia" w:ascii="仿宋_GB2312" w:hAnsi="仿宋" w:eastAsia="仿宋_GB2312" w:cs="仿宋"/>
          <w:sz w:val="32"/>
          <w:szCs w:val="32"/>
        </w:rPr>
        <w:t>建设</w:t>
      </w:r>
      <w:r>
        <w:rPr>
          <w:rFonts w:hint="eastAsia" w:ascii="仿宋_GB2312" w:hAnsi="仿宋" w:eastAsia="仿宋_GB2312" w:cs="仿宋"/>
          <w:sz w:val="32"/>
          <w:szCs w:val="32"/>
          <w:lang w:val="en-US" w:eastAsia="zh-CN"/>
        </w:rPr>
        <w:t>工程</w:t>
      </w:r>
      <w:r>
        <w:rPr>
          <w:rFonts w:hint="eastAsia" w:ascii="仿宋_GB2312" w:hAnsi="仿宋" w:eastAsia="仿宋_GB2312" w:cs="仿宋"/>
          <w:sz w:val="32"/>
          <w:szCs w:val="32"/>
        </w:rPr>
        <w:t>项目《施工合同》约定计划竣工日期为</w:t>
      </w:r>
      <w:r>
        <w:rPr>
          <w:rFonts w:hint="eastAsia" w:ascii="Times New Roman" w:hAnsi="Times New Roman" w:eastAsia="仿宋_GB2312" w:cs="仿宋_GB2312"/>
          <w:sz w:val="32"/>
          <w:szCs w:val="32"/>
        </w:rPr>
        <w:t>201</w:t>
      </w:r>
      <w:r>
        <w:rPr>
          <w:rFonts w:hint="eastAsia" w:ascii="Times New Roman" w:hAnsi="Times New Roman" w:eastAsia="仿宋_GB2312" w:cs="仿宋_GB2312"/>
          <w:sz w:val="32"/>
          <w:szCs w:val="32"/>
          <w:lang w:val="en-US" w:eastAsia="zh-CN"/>
        </w:rPr>
        <w:t>9</w:t>
      </w:r>
      <w:r>
        <w:rPr>
          <w:rFonts w:hint="eastAsia" w:ascii="仿宋_GB2312" w:hAnsi="仿宋" w:eastAsia="仿宋_GB2312" w:cs="仿宋"/>
          <w:sz w:val="32"/>
          <w:szCs w:val="32"/>
        </w:rPr>
        <w:t>年</w:t>
      </w:r>
      <w:r>
        <w:rPr>
          <w:rFonts w:hint="eastAsia" w:ascii="Times New Roman" w:hAnsi="Times New Roman" w:eastAsia="仿宋_GB2312" w:cs="仿宋_GB2312"/>
          <w:sz w:val="32"/>
          <w:szCs w:val="32"/>
          <w:lang w:val="en-US" w:eastAsia="zh-CN"/>
        </w:rPr>
        <w:t>8</w:t>
      </w:r>
      <w:r>
        <w:rPr>
          <w:rFonts w:hint="eastAsia" w:ascii="仿宋_GB2312" w:hAnsi="仿宋" w:eastAsia="仿宋_GB2312" w:cs="仿宋"/>
          <w:sz w:val="32"/>
          <w:szCs w:val="32"/>
        </w:rPr>
        <w:t>月</w:t>
      </w:r>
      <w:r>
        <w:rPr>
          <w:rFonts w:hint="eastAsia" w:ascii="Times New Roman" w:hAnsi="Times New Roman" w:eastAsia="仿宋_GB2312" w:cs="仿宋_GB2312"/>
          <w:sz w:val="32"/>
          <w:szCs w:val="32"/>
          <w:lang w:val="en-US" w:eastAsia="zh-CN"/>
        </w:rPr>
        <w:t>24</w:t>
      </w:r>
      <w:r>
        <w:rPr>
          <w:rFonts w:hint="eastAsia" w:ascii="仿宋_GB2312" w:hAnsi="仿宋" w:eastAsia="仿宋_GB2312" w:cs="仿宋"/>
          <w:sz w:val="32"/>
          <w:szCs w:val="32"/>
        </w:rPr>
        <w:t>日，实际竣工日期为</w:t>
      </w:r>
      <w:r>
        <w:rPr>
          <w:rFonts w:hint="eastAsia" w:ascii="Times New Roman" w:hAnsi="Times New Roman" w:eastAsia="仿宋_GB2312" w:cs="仿宋_GB2312"/>
          <w:sz w:val="32"/>
          <w:szCs w:val="32"/>
        </w:rPr>
        <w:t>201</w:t>
      </w:r>
      <w:r>
        <w:rPr>
          <w:rFonts w:hint="eastAsia" w:ascii="Times New Roman" w:hAnsi="Times New Roman" w:eastAsia="仿宋_GB2312" w:cs="仿宋_GB2312"/>
          <w:sz w:val="32"/>
          <w:szCs w:val="32"/>
          <w:lang w:val="en-US" w:eastAsia="zh-CN"/>
        </w:rPr>
        <w:t>9</w:t>
      </w:r>
      <w:r>
        <w:rPr>
          <w:rFonts w:hint="eastAsia" w:ascii="仿宋_GB2312" w:hAnsi="仿宋" w:eastAsia="仿宋_GB2312" w:cs="仿宋"/>
          <w:sz w:val="32"/>
          <w:szCs w:val="32"/>
        </w:rPr>
        <w:t>年</w:t>
      </w:r>
      <w:r>
        <w:rPr>
          <w:rFonts w:hint="eastAsia" w:ascii="Times New Roman" w:hAnsi="Times New Roman" w:eastAsia="仿宋_GB2312" w:cs="仿宋_GB2312"/>
          <w:sz w:val="32"/>
          <w:szCs w:val="32"/>
          <w:lang w:val="en-US" w:eastAsia="zh-CN"/>
        </w:rPr>
        <w:t>8</w:t>
      </w:r>
      <w:r>
        <w:rPr>
          <w:rFonts w:hint="eastAsia" w:ascii="仿宋_GB2312" w:hAnsi="仿宋" w:eastAsia="仿宋_GB2312" w:cs="仿宋"/>
          <w:sz w:val="32"/>
          <w:szCs w:val="32"/>
        </w:rPr>
        <w:t>月</w:t>
      </w:r>
      <w:r>
        <w:rPr>
          <w:rFonts w:hint="eastAsia" w:ascii="Times New Roman" w:hAnsi="Times New Roman" w:eastAsia="仿宋_GB2312" w:cs="仿宋_GB2312"/>
          <w:sz w:val="32"/>
          <w:szCs w:val="32"/>
          <w:lang w:val="en-US" w:eastAsia="zh-CN"/>
        </w:rPr>
        <w:t>24</w:t>
      </w:r>
      <w:r>
        <w:rPr>
          <w:rFonts w:hint="eastAsia" w:ascii="仿宋_GB2312" w:hAnsi="仿宋" w:eastAsia="仿宋_GB2312" w:cs="仿宋"/>
          <w:sz w:val="32"/>
          <w:szCs w:val="32"/>
        </w:rPr>
        <w:t>日</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按照合同约定时间完工</w:t>
      </w:r>
      <w:r>
        <w:rPr>
          <w:rFonts w:hint="eastAsia" w:ascii="仿宋_GB2312" w:hAnsi="仿宋" w:eastAsia="仿宋_GB2312" w:cs="仿宋"/>
          <w:sz w:val="32"/>
          <w:szCs w:val="32"/>
        </w:rPr>
        <w:t>。</w:t>
      </w:r>
    </w:p>
    <w:p>
      <w:pPr>
        <w:widowControl w:val="0"/>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根据</w:t>
      </w:r>
      <w:r>
        <w:rPr>
          <w:rFonts w:hint="eastAsia" w:ascii="仿宋_GB2312" w:hAnsi="仿宋" w:eastAsia="仿宋_GB2312" w:cs="仿宋"/>
          <w:sz w:val="32"/>
          <w:szCs w:val="32"/>
        </w:rPr>
        <w:t>设置的指标体系中</w:t>
      </w:r>
      <w:r>
        <w:rPr>
          <w:rFonts w:hint="eastAsia" w:ascii="仿宋_GB2312" w:hAnsi="仿宋" w:eastAsia="仿宋_GB2312" w:cs="仿宋_GB2312"/>
          <w:sz w:val="32"/>
          <w:szCs w:val="32"/>
        </w:rPr>
        <w:t>确定的评分标准和评分办法，该项指标</w:t>
      </w:r>
      <w:r>
        <w:rPr>
          <w:rFonts w:hint="eastAsia" w:ascii="仿宋_GB2312" w:hAnsi="仿宋" w:eastAsia="仿宋_GB2312" w:cs="仿宋_GB2312"/>
          <w:sz w:val="32"/>
          <w:szCs w:val="32"/>
          <w:lang w:val="en-US" w:eastAsia="zh-CN"/>
        </w:rPr>
        <w:t>不</w:t>
      </w:r>
      <w:r>
        <w:rPr>
          <w:rFonts w:hint="eastAsia" w:ascii="仿宋_GB2312" w:hAnsi="仿宋" w:eastAsia="仿宋_GB2312" w:cs="仿宋_GB2312"/>
          <w:sz w:val="32"/>
          <w:szCs w:val="32"/>
        </w:rPr>
        <w:t>扣分，共得分</w:t>
      </w:r>
      <w:r>
        <w:rPr>
          <w:rFonts w:hint="eastAsia" w:ascii="Times New Roman" w:hAnsi="Times New Roman" w:eastAsia="仿宋_GB2312" w:cs="仿宋_GB2312"/>
          <w:sz w:val="32"/>
          <w:szCs w:val="32"/>
          <w:lang w:val="en-US" w:eastAsia="zh-CN"/>
        </w:rPr>
        <w:t>6</w:t>
      </w:r>
      <w:r>
        <w:rPr>
          <w:rFonts w:hint="eastAsia" w:ascii="仿宋_GB2312" w:hAnsi="仿宋" w:eastAsia="仿宋_GB2312" w:cs="仿宋_GB2312"/>
          <w:sz w:val="32"/>
          <w:szCs w:val="32"/>
        </w:rPr>
        <w:t>分，得分率为</w:t>
      </w:r>
      <w:r>
        <w:rPr>
          <w:rFonts w:hint="eastAsia" w:ascii="Times New Roman" w:hAnsi="Times New Roman" w:eastAsia="仿宋_GB2312" w:cs="仿宋_GB2312"/>
          <w:sz w:val="32"/>
          <w:szCs w:val="32"/>
          <w:lang w:val="en-US" w:eastAsia="zh-CN"/>
        </w:rPr>
        <w:t>100</w:t>
      </w:r>
      <w:r>
        <w:rPr>
          <w:rFonts w:hint="eastAsia" w:ascii="仿宋_GB2312" w:hAnsi="仿宋" w:eastAsia="仿宋_GB2312" w:cs="仿宋_GB2312"/>
          <w:sz w:val="32"/>
          <w:szCs w:val="32"/>
        </w:rPr>
        <w:t>%。</w:t>
      </w:r>
    </w:p>
    <w:p>
      <w:pPr>
        <w:widowControl w:val="0"/>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w:t>
      </w:r>
      <w:r>
        <w:rPr>
          <w:rFonts w:hint="eastAsia" w:ascii="Times New Roman" w:hAnsi="Times New Roman" w:eastAsia="仿宋_GB2312" w:cs="仿宋"/>
          <w:sz w:val="32"/>
          <w:szCs w:val="32"/>
          <w:lang w:val="en-US" w:eastAsia="zh-CN"/>
        </w:rPr>
        <w:t>4</w:t>
      </w:r>
      <w:r>
        <w:rPr>
          <w:rFonts w:hint="eastAsia" w:ascii="仿宋_GB2312" w:hAnsi="仿宋" w:eastAsia="仿宋_GB2312" w:cs="仿宋"/>
          <w:sz w:val="32"/>
          <w:szCs w:val="32"/>
        </w:rPr>
        <w:t>）</w:t>
      </w:r>
      <w:r>
        <w:rPr>
          <w:rFonts w:hint="eastAsia" w:ascii="Times New Roman" w:hAnsi="Times New Roman" w:eastAsia="仿宋_GB2312" w:cs="仿宋"/>
          <w:sz w:val="32"/>
          <w:szCs w:val="32"/>
        </w:rPr>
        <w:t>C41</w:t>
      </w:r>
      <w:r>
        <w:rPr>
          <w:rFonts w:hint="eastAsia" w:ascii="仿宋_GB2312" w:hAnsi="仿宋" w:eastAsia="仿宋_GB2312" w:cs="仿宋"/>
          <w:sz w:val="32"/>
          <w:szCs w:val="32"/>
          <w:lang w:val="en-US" w:eastAsia="zh-CN"/>
        </w:rPr>
        <w:t>道路补助标准</w:t>
      </w:r>
      <w:r>
        <w:rPr>
          <w:rFonts w:hint="eastAsia" w:ascii="仿宋_GB2312" w:hAnsi="仿宋" w:eastAsia="仿宋_GB2312" w:cs="仿宋"/>
          <w:sz w:val="32"/>
          <w:szCs w:val="32"/>
        </w:rPr>
        <w:t>（</w:t>
      </w:r>
      <w:r>
        <w:rPr>
          <w:rFonts w:hint="eastAsia" w:ascii="Times New Roman" w:hAnsi="Times New Roman" w:eastAsia="仿宋_GB2312" w:cs="仿宋"/>
          <w:sz w:val="32"/>
          <w:szCs w:val="32"/>
          <w:lang w:val="en-US" w:eastAsia="zh-CN"/>
        </w:rPr>
        <w:t>5</w:t>
      </w:r>
      <w:r>
        <w:rPr>
          <w:rFonts w:hint="eastAsia" w:ascii="仿宋_GB2312" w:hAnsi="仿宋" w:eastAsia="仿宋_GB2312" w:cs="仿宋"/>
          <w:sz w:val="32"/>
          <w:szCs w:val="32"/>
        </w:rPr>
        <w:t>分）。本指标主要</w:t>
      </w:r>
      <w:r>
        <w:rPr>
          <w:rFonts w:hint="eastAsia" w:ascii="仿宋_GB2312" w:hAnsi="仿宋" w:eastAsia="仿宋_GB2312" w:cs="仿宋"/>
          <w:sz w:val="32"/>
          <w:szCs w:val="32"/>
          <w:lang w:val="en-US" w:eastAsia="zh-CN"/>
        </w:rPr>
        <w:t>考察项目实际补贴是否符合规定标准，用以考核绩效目标的成本情况</w:t>
      </w:r>
      <w:r>
        <w:rPr>
          <w:rFonts w:hint="eastAsia" w:ascii="仿宋_GB2312" w:hAnsi="仿宋" w:eastAsia="仿宋_GB2312" w:cs="仿宋"/>
          <w:sz w:val="32"/>
          <w:szCs w:val="32"/>
        </w:rPr>
        <w:t>。</w:t>
      </w:r>
    </w:p>
    <w:p>
      <w:pPr>
        <w:widowControl w:val="0"/>
        <w:ind w:firstLine="640" w:firstLineChars="200"/>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通过查阅项目实施单位相关资料及现场核实，项目申报目标</w:t>
      </w:r>
      <w:r>
        <w:rPr>
          <w:rFonts w:hint="eastAsia" w:ascii="Times New Roman" w:hAnsi="Times New Roman" w:eastAsia="仿宋_GB2312" w:cs="仿宋"/>
          <w:sz w:val="32"/>
          <w:szCs w:val="32"/>
          <w:lang w:val="en-US" w:eastAsia="zh-CN"/>
        </w:rPr>
        <w:t>31.1</w:t>
      </w:r>
      <w:r>
        <w:rPr>
          <w:rFonts w:hint="eastAsia" w:ascii="仿宋_GB2312" w:hAnsi="仿宋" w:eastAsia="仿宋_GB2312" w:cs="仿宋"/>
          <w:sz w:val="32"/>
          <w:szCs w:val="32"/>
          <w:lang w:val="en-US" w:eastAsia="zh-CN"/>
        </w:rPr>
        <w:t>万元/公里、总长度</w:t>
      </w:r>
      <w:r>
        <w:rPr>
          <w:rFonts w:hint="eastAsia" w:ascii="Times New Roman" w:hAnsi="Times New Roman" w:eastAsia="仿宋_GB2312" w:cs="仿宋"/>
          <w:sz w:val="32"/>
          <w:szCs w:val="32"/>
          <w:lang w:val="en-US" w:eastAsia="zh-CN"/>
        </w:rPr>
        <w:t>4.5公里列入计划，招标时根据实际地势情况进行路线优化，招</w:t>
      </w:r>
      <w:r>
        <w:rPr>
          <w:rFonts w:hint="eastAsia" w:ascii="仿宋_GB2312" w:hAnsi="仿宋" w:eastAsia="仿宋_GB2312" w:cs="仿宋"/>
          <w:sz w:val="32"/>
          <w:szCs w:val="32"/>
          <w:lang w:val="en-US" w:eastAsia="zh-CN"/>
        </w:rPr>
        <w:t>标里程为</w:t>
      </w:r>
      <w:r>
        <w:rPr>
          <w:rFonts w:hint="eastAsia" w:ascii="Times New Roman" w:hAnsi="Times New Roman" w:eastAsia="仿宋_GB2312" w:cs="仿宋"/>
          <w:sz w:val="32"/>
          <w:szCs w:val="32"/>
          <w:lang w:val="en-US" w:eastAsia="zh-CN"/>
        </w:rPr>
        <w:t>3.94</w:t>
      </w:r>
      <w:r>
        <w:rPr>
          <w:rFonts w:hint="eastAsia" w:ascii="仿宋_GB2312" w:hAnsi="仿宋" w:eastAsia="仿宋_GB2312" w:cs="仿宋"/>
          <w:sz w:val="32"/>
          <w:szCs w:val="32"/>
          <w:lang w:val="en-US" w:eastAsia="zh-CN"/>
        </w:rPr>
        <w:t>公里，增加两边路肩宽各</w:t>
      </w:r>
      <w:r>
        <w:rPr>
          <w:rFonts w:hint="eastAsia" w:ascii="Times New Roman" w:hAnsi="Times New Roman" w:eastAsia="仿宋_GB2312" w:cs="仿宋"/>
          <w:sz w:val="32"/>
          <w:szCs w:val="32"/>
          <w:lang w:val="en-US" w:eastAsia="zh-CN"/>
        </w:rPr>
        <w:t>0.5</w:t>
      </w:r>
      <w:r>
        <w:rPr>
          <w:rFonts w:hint="eastAsia" w:ascii="仿宋_GB2312" w:hAnsi="仿宋" w:eastAsia="仿宋_GB2312" w:cs="仿宋"/>
          <w:sz w:val="32"/>
          <w:szCs w:val="32"/>
          <w:lang w:val="en-US" w:eastAsia="zh-CN"/>
        </w:rPr>
        <w:t>米而导致投资为</w:t>
      </w:r>
      <w:r>
        <w:rPr>
          <w:rFonts w:hint="eastAsia" w:ascii="Times New Roman" w:hAnsi="Times New Roman" w:eastAsia="仿宋_GB2312" w:cs="仿宋"/>
          <w:sz w:val="32"/>
          <w:szCs w:val="32"/>
          <w:lang w:val="en-US" w:eastAsia="zh-CN"/>
        </w:rPr>
        <w:t>33.53</w:t>
      </w:r>
      <w:r>
        <w:rPr>
          <w:rFonts w:hint="eastAsia" w:ascii="仿宋_GB2312" w:hAnsi="仿宋" w:eastAsia="仿宋_GB2312" w:cs="仿宋"/>
          <w:sz w:val="32"/>
          <w:szCs w:val="32"/>
          <w:lang w:val="en-US" w:eastAsia="zh-CN"/>
        </w:rPr>
        <w:t>万元/公里，投资额没有超计划资金。</w:t>
      </w:r>
    </w:p>
    <w:p>
      <w:pPr>
        <w:widowControl w:val="0"/>
        <w:ind w:firstLine="640" w:firstLineChars="200"/>
        <w:rPr>
          <w:rFonts w:hint="eastAsia" w:ascii="仿宋_GB2312" w:hAnsi="仿宋" w:eastAsia="仿宋_GB2312" w:cs="仿宋"/>
          <w:sz w:val="32"/>
          <w:szCs w:val="32"/>
        </w:rPr>
      </w:pPr>
      <w:r>
        <w:rPr>
          <w:rFonts w:hint="eastAsia" w:ascii="仿宋_GB2312" w:hAnsi="仿宋" w:eastAsia="仿宋_GB2312" w:cs="仿宋_GB2312"/>
          <w:sz w:val="32"/>
          <w:szCs w:val="32"/>
        </w:rPr>
        <w:t>根据</w:t>
      </w:r>
      <w:r>
        <w:rPr>
          <w:rFonts w:hint="eastAsia" w:ascii="仿宋_GB2312" w:hAnsi="仿宋" w:eastAsia="仿宋_GB2312" w:cs="仿宋"/>
          <w:sz w:val="32"/>
          <w:szCs w:val="32"/>
        </w:rPr>
        <w:t>设置的指标体系中</w:t>
      </w:r>
      <w:r>
        <w:rPr>
          <w:rFonts w:hint="eastAsia" w:ascii="仿宋_GB2312" w:hAnsi="仿宋" w:eastAsia="仿宋_GB2312" w:cs="仿宋_GB2312"/>
          <w:sz w:val="32"/>
          <w:szCs w:val="32"/>
        </w:rPr>
        <w:t>确定的评分标准和评分办法，该项指标不扣分，共得分</w:t>
      </w:r>
      <w:r>
        <w:rPr>
          <w:rFonts w:hint="eastAsia" w:ascii="Times New Roman" w:hAnsi="Times New Roman" w:eastAsia="仿宋_GB2312" w:cs="仿宋_GB2312"/>
          <w:sz w:val="32"/>
          <w:szCs w:val="32"/>
          <w:lang w:val="en-US" w:eastAsia="zh-CN"/>
        </w:rPr>
        <w:t>5</w:t>
      </w:r>
      <w:r>
        <w:rPr>
          <w:rFonts w:hint="eastAsia" w:ascii="仿宋_GB2312" w:hAnsi="仿宋" w:eastAsia="仿宋_GB2312" w:cs="仿宋_GB2312"/>
          <w:sz w:val="32"/>
          <w:szCs w:val="32"/>
        </w:rPr>
        <w:t>分，得分率为</w:t>
      </w:r>
      <w:r>
        <w:rPr>
          <w:rFonts w:hint="eastAsia" w:ascii="Times New Roman" w:hAnsi="Times New Roman" w:eastAsia="仿宋_GB2312" w:cs="仿宋_GB2312"/>
          <w:sz w:val="32"/>
          <w:szCs w:val="32"/>
        </w:rPr>
        <w:t>100</w:t>
      </w:r>
      <w:r>
        <w:rPr>
          <w:rFonts w:hint="eastAsia" w:ascii="仿宋_GB2312" w:hAnsi="仿宋" w:eastAsia="仿宋_GB2312" w:cs="仿宋_GB2312"/>
          <w:sz w:val="32"/>
          <w:szCs w:val="32"/>
        </w:rPr>
        <w:t>%。</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Times New Roman" w:hAnsi="Times New Roman" w:eastAsia="仿宋_GB2312" w:cs="仿宋"/>
          <w:sz w:val="32"/>
          <w:szCs w:val="32"/>
          <w:lang w:val="en-US" w:eastAsia="zh-CN"/>
        </w:rPr>
        <w:t>5</w:t>
      </w:r>
      <w:r>
        <w:rPr>
          <w:rFonts w:hint="eastAsia" w:ascii="仿宋_GB2312" w:hAnsi="仿宋" w:eastAsia="仿宋_GB2312" w:cs="仿宋"/>
          <w:sz w:val="32"/>
          <w:szCs w:val="32"/>
        </w:rPr>
        <w:t>）</w:t>
      </w:r>
      <w:r>
        <w:rPr>
          <w:rFonts w:hint="eastAsia" w:ascii="Times New Roman" w:hAnsi="Times New Roman" w:eastAsia="仿宋_GB2312" w:cs="仿宋"/>
          <w:sz w:val="32"/>
          <w:szCs w:val="32"/>
        </w:rPr>
        <w:t>C4</w:t>
      </w:r>
      <w:r>
        <w:rPr>
          <w:rFonts w:hint="eastAsia" w:ascii="Times New Roman" w:hAnsi="Times New Roman" w:eastAsia="仿宋_GB2312" w:cs="仿宋"/>
          <w:sz w:val="32"/>
          <w:szCs w:val="32"/>
          <w:lang w:val="en-US" w:eastAsia="zh-CN"/>
        </w:rPr>
        <w:t>2</w:t>
      </w:r>
      <w:r>
        <w:rPr>
          <w:rFonts w:hint="eastAsia" w:ascii="仿宋_GB2312" w:hAnsi="仿宋" w:eastAsia="仿宋_GB2312" w:cs="仿宋"/>
          <w:sz w:val="32"/>
          <w:szCs w:val="32"/>
        </w:rPr>
        <w:t>成本节约率（</w:t>
      </w:r>
      <w:r>
        <w:rPr>
          <w:rFonts w:hint="eastAsia" w:ascii="Times New Roman" w:hAnsi="Times New Roman" w:eastAsia="仿宋_GB2312" w:cs="仿宋"/>
          <w:sz w:val="32"/>
          <w:szCs w:val="32"/>
          <w:lang w:val="en-US" w:eastAsia="zh-CN"/>
        </w:rPr>
        <w:t>4</w:t>
      </w:r>
      <w:r>
        <w:rPr>
          <w:rFonts w:hint="eastAsia" w:ascii="仿宋_GB2312" w:hAnsi="仿宋" w:eastAsia="仿宋_GB2312" w:cs="仿宋"/>
          <w:sz w:val="32"/>
          <w:szCs w:val="32"/>
        </w:rPr>
        <w:t>分）。本指标主要考核各实施单位实施工程的实际成本与计划成本的比率，用以反映和考核项目的成本节约程度。</w:t>
      </w:r>
    </w:p>
    <w:p>
      <w:pPr>
        <w:widowControl w:val="0"/>
        <w:ind w:firstLine="640" w:firstLineChars="200"/>
        <w:rPr>
          <w:rFonts w:hint="eastAsia" w:ascii="仿宋_GB2312" w:hAnsi="仿宋_GB2312" w:eastAsia="仿宋_GB2312" w:cs="仿宋_GB2312"/>
          <w:sz w:val="32"/>
          <w:szCs w:val="32"/>
          <w:lang w:val="en-US" w:eastAsia="zh-CN"/>
        </w:rPr>
      </w:pPr>
      <w:r>
        <w:rPr>
          <w:rFonts w:hint="eastAsia" w:ascii="仿宋_GB2312" w:hAnsi="仿宋" w:eastAsia="仿宋_GB2312" w:cs="仿宋"/>
          <w:sz w:val="32"/>
          <w:szCs w:val="32"/>
        </w:rPr>
        <w:t>评价组通过对项目实施单位提供的资料进行整理和分析，结合现场核实，了解到平陆县</w:t>
      </w:r>
      <w:r>
        <w:rPr>
          <w:rFonts w:hint="eastAsia" w:ascii="仿宋_GB2312" w:hAnsi="仿宋" w:eastAsia="仿宋_GB2312" w:cs="仿宋"/>
          <w:sz w:val="32"/>
          <w:szCs w:val="32"/>
          <w:lang w:val="en-US" w:eastAsia="zh-CN"/>
        </w:rPr>
        <w:t>圣人涧镇营村村一组至二组道路建设工程</w:t>
      </w:r>
      <w:r>
        <w:rPr>
          <w:rFonts w:hint="eastAsia" w:ascii="仿宋_GB2312" w:hAnsi="仿宋" w:eastAsia="仿宋_GB2312" w:cs="仿宋"/>
          <w:sz w:val="32"/>
          <w:szCs w:val="32"/>
        </w:rPr>
        <w:t>项目</w:t>
      </w:r>
      <w:r>
        <w:rPr>
          <w:rFonts w:hint="eastAsia" w:ascii="仿宋_GB2312" w:hAnsi="仿宋_GB2312" w:eastAsia="仿宋_GB2312" w:cs="仿宋_GB2312"/>
          <w:sz w:val="32"/>
          <w:szCs w:val="32"/>
        </w:rPr>
        <w:t>建设完成后，项目实施单位委托具有专业资质的“</w:t>
      </w:r>
      <w:r>
        <w:rPr>
          <w:rFonts w:hint="eastAsia" w:ascii="仿宋_GB2312" w:hAnsi="仿宋_GB2312" w:eastAsia="仿宋_GB2312" w:cs="仿宋_GB2312"/>
          <w:sz w:val="32"/>
          <w:szCs w:val="32"/>
          <w:lang w:val="en-US" w:eastAsia="zh-CN"/>
        </w:rPr>
        <w:t>亿诚建设项目管理</w:t>
      </w:r>
      <w:r>
        <w:rPr>
          <w:rFonts w:hint="eastAsia" w:ascii="仿宋_GB2312" w:hAnsi="仿宋_GB2312" w:eastAsia="仿宋_GB2312" w:cs="仿宋_GB2312"/>
          <w:sz w:val="32"/>
          <w:szCs w:val="32"/>
        </w:rPr>
        <w:t>有限公司”对工程量进行结算审核，并出具《</w:t>
      </w:r>
      <w:r>
        <w:rPr>
          <w:rFonts w:hint="eastAsia" w:ascii="仿宋_GB2312" w:hAnsi="仿宋_GB2312" w:eastAsia="仿宋_GB2312" w:cs="仿宋_GB2312"/>
          <w:sz w:val="32"/>
          <w:szCs w:val="32"/>
          <w:lang w:val="en-US" w:eastAsia="zh-CN"/>
        </w:rPr>
        <w:t>工程</w:t>
      </w:r>
      <w:r>
        <w:rPr>
          <w:rFonts w:hint="eastAsia" w:ascii="仿宋_GB2312" w:hAnsi="仿宋_GB2312" w:eastAsia="仿宋_GB2312" w:cs="仿宋_GB2312"/>
          <w:sz w:val="32"/>
          <w:szCs w:val="32"/>
        </w:rPr>
        <w:t>结算审核报告》，</w:t>
      </w:r>
      <w:r>
        <w:rPr>
          <w:rFonts w:hint="eastAsia" w:ascii="仿宋_GB2312" w:hAnsi="仿宋_GB2312" w:eastAsia="仿宋_GB2312" w:cs="仿宋_GB2312"/>
          <w:sz w:val="32"/>
          <w:szCs w:val="32"/>
          <w:lang w:val="en-US" w:eastAsia="zh-CN"/>
        </w:rPr>
        <w:t>经审核，合同金额为</w:t>
      </w:r>
      <w:r>
        <w:rPr>
          <w:rFonts w:hint="eastAsia" w:ascii="Times New Roman" w:hAnsi="Times New Roman" w:eastAsia="仿宋_GB2312" w:cs="仿宋_GB2312"/>
          <w:sz w:val="32"/>
          <w:szCs w:val="32"/>
          <w:lang w:val="en-US" w:eastAsia="zh-CN"/>
        </w:rPr>
        <w:t>127.4</w:t>
      </w:r>
      <w:r>
        <w:rPr>
          <w:rFonts w:hint="eastAsia" w:ascii="仿宋_GB2312" w:hAnsi="仿宋_GB2312" w:eastAsia="仿宋_GB2312" w:cs="仿宋_GB2312"/>
          <w:sz w:val="32"/>
          <w:szCs w:val="32"/>
          <w:lang w:val="en-US" w:eastAsia="zh-CN"/>
        </w:rPr>
        <w:t>万元，施工单位送审金额为</w:t>
      </w:r>
      <w:r>
        <w:rPr>
          <w:rFonts w:hint="eastAsia" w:ascii="Times New Roman" w:hAnsi="Times New Roman" w:eastAsia="仿宋_GB2312" w:cs="仿宋_GB2312"/>
          <w:sz w:val="32"/>
          <w:szCs w:val="32"/>
          <w:lang w:val="en-US" w:eastAsia="zh-CN"/>
        </w:rPr>
        <w:t>127.43</w:t>
      </w:r>
      <w:r>
        <w:rPr>
          <w:rFonts w:hint="eastAsia" w:ascii="仿宋_GB2312" w:hAnsi="仿宋_GB2312" w:eastAsia="仿宋_GB2312" w:cs="仿宋_GB2312"/>
          <w:sz w:val="32"/>
          <w:szCs w:val="32"/>
          <w:lang w:val="en-US" w:eastAsia="zh-CN"/>
        </w:rPr>
        <w:t>万元。依据合同约定结算方式并结合实际施工完成情况，确认最终结算金额</w:t>
      </w:r>
      <w:r>
        <w:rPr>
          <w:rFonts w:hint="eastAsia" w:ascii="Times New Roman" w:hAnsi="Times New Roman" w:eastAsia="仿宋_GB2312" w:cs="仿宋_GB2312"/>
          <w:sz w:val="32"/>
          <w:szCs w:val="32"/>
          <w:lang w:val="en-US" w:eastAsia="zh-CN"/>
        </w:rPr>
        <w:t>127.4</w:t>
      </w:r>
      <w:r>
        <w:rPr>
          <w:rFonts w:hint="eastAsia" w:ascii="仿宋_GB2312" w:hAnsi="仿宋_GB2312" w:eastAsia="仿宋_GB2312" w:cs="仿宋_GB2312"/>
          <w:sz w:val="32"/>
          <w:szCs w:val="32"/>
          <w:lang w:val="en-US" w:eastAsia="zh-CN"/>
        </w:rPr>
        <w:t>万元。</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_GB2312"/>
          <w:sz w:val="32"/>
          <w:szCs w:val="32"/>
        </w:rPr>
        <w:t>根据</w:t>
      </w:r>
      <w:r>
        <w:rPr>
          <w:rFonts w:hint="eastAsia" w:ascii="仿宋_GB2312" w:hAnsi="仿宋" w:eastAsia="仿宋_GB2312" w:cs="仿宋"/>
          <w:sz w:val="32"/>
          <w:szCs w:val="32"/>
        </w:rPr>
        <w:t>设置的指标体系中</w:t>
      </w:r>
      <w:r>
        <w:rPr>
          <w:rFonts w:hint="eastAsia" w:ascii="仿宋_GB2312" w:hAnsi="仿宋" w:eastAsia="仿宋_GB2312" w:cs="仿宋_GB2312"/>
          <w:sz w:val="32"/>
          <w:szCs w:val="32"/>
        </w:rPr>
        <w:t>确定的评分标准和评分办法，该项指标不扣分，共得分</w:t>
      </w:r>
      <w:r>
        <w:rPr>
          <w:rFonts w:hint="eastAsia" w:ascii="Times New Roman" w:hAnsi="Times New Roman" w:eastAsia="仿宋_GB2312" w:cs="仿宋_GB2312"/>
          <w:sz w:val="32"/>
          <w:szCs w:val="32"/>
          <w:lang w:val="en-US" w:eastAsia="zh-CN"/>
        </w:rPr>
        <w:t>4</w:t>
      </w:r>
      <w:r>
        <w:rPr>
          <w:rFonts w:hint="eastAsia" w:ascii="仿宋_GB2312" w:hAnsi="仿宋" w:eastAsia="仿宋_GB2312" w:cs="仿宋_GB2312"/>
          <w:sz w:val="32"/>
          <w:szCs w:val="32"/>
        </w:rPr>
        <w:t>分，得分率为</w:t>
      </w:r>
      <w:r>
        <w:rPr>
          <w:rFonts w:hint="eastAsia" w:ascii="Times New Roman" w:hAnsi="Times New Roman" w:eastAsia="仿宋_GB2312" w:cs="仿宋_GB2312"/>
          <w:sz w:val="32"/>
          <w:szCs w:val="32"/>
        </w:rPr>
        <w:t>100</w:t>
      </w:r>
      <w:r>
        <w:rPr>
          <w:rFonts w:hint="eastAsia" w:ascii="仿宋_GB2312" w:hAnsi="仿宋" w:eastAsia="仿宋_GB2312" w:cs="仿宋_GB2312"/>
          <w:sz w:val="32"/>
          <w:szCs w:val="32"/>
        </w:rPr>
        <w:t>%。</w:t>
      </w:r>
    </w:p>
    <w:p>
      <w:pPr>
        <w:widowControl w:val="0"/>
        <w:spacing w:line="600" w:lineRule="exact"/>
        <w:ind w:firstLine="640" w:firstLineChars="200"/>
        <w:outlineLvl w:val="1"/>
        <w:rPr>
          <w:rFonts w:ascii="楷体" w:hAnsi="楷体" w:eastAsia="楷体" w:cs="Times New Roman"/>
          <w:bCs/>
          <w:sz w:val="32"/>
          <w:szCs w:val="32"/>
        </w:rPr>
      </w:pPr>
      <w:bookmarkStart w:id="58" w:name="_Toc15330"/>
      <w:r>
        <w:rPr>
          <w:rFonts w:hint="eastAsia" w:ascii="楷体" w:hAnsi="楷体" w:eastAsia="楷体" w:cs="Times New Roman"/>
          <w:bCs/>
          <w:sz w:val="32"/>
          <w:szCs w:val="32"/>
        </w:rPr>
        <w:t>（四）效益类指标分析</w:t>
      </w:r>
      <w:bookmarkEnd w:id="58"/>
    </w:p>
    <w:p>
      <w:pPr>
        <w:widowControl w:val="0"/>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效益类指标主要从经济效益、社会效益、可持续影响和满意度</w:t>
      </w:r>
      <w:r>
        <w:rPr>
          <w:rFonts w:hint="eastAsia" w:ascii="仿宋_GB2312" w:hAnsi="仿宋" w:eastAsia="仿宋_GB2312" w:cs="Times New Roman"/>
          <w:sz w:val="32"/>
          <w:szCs w:val="32"/>
          <w:lang w:val="en-US" w:eastAsia="zh-CN"/>
        </w:rPr>
        <w:t>四</w:t>
      </w:r>
      <w:r>
        <w:rPr>
          <w:rFonts w:hint="eastAsia" w:ascii="仿宋_GB2312" w:hAnsi="仿宋" w:eastAsia="仿宋_GB2312" w:cs="Times New Roman"/>
          <w:sz w:val="32"/>
          <w:szCs w:val="32"/>
        </w:rPr>
        <w:t>个方面对项目产出情况进行评价，共设置</w:t>
      </w:r>
      <w:r>
        <w:rPr>
          <w:rFonts w:hint="eastAsia" w:ascii="Times New Roman" w:hAnsi="Times New Roman" w:eastAsia="仿宋_GB2312" w:cs="Times New Roman"/>
          <w:sz w:val="32"/>
          <w:szCs w:val="32"/>
          <w:lang w:val="en-US" w:eastAsia="zh-CN"/>
        </w:rPr>
        <w:t>6</w:t>
      </w:r>
      <w:r>
        <w:rPr>
          <w:rFonts w:hint="eastAsia" w:ascii="仿宋_GB2312" w:hAnsi="仿宋" w:eastAsia="仿宋_GB2312" w:cs="Times New Roman"/>
          <w:sz w:val="32"/>
          <w:szCs w:val="32"/>
        </w:rPr>
        <w:t>个三级指标。效益类指标权重分</w:t>
      </w:r>
      <w:r>
        <w:rPr>
          <w:rFonts w:hint="eastAsia" w:ascii="Times New Roman" w:hAnsi="Times New Roman" w:eastAsia="仿宋_GB2312" w:cs="Times New Roman"/>
          <w:sz w:val="32"/>
          <w:szCs w:val="32"/>
        </w:rPr>
        <w:t>30</w:t>
      </w:r>
      <w:r>
        <w:rPr>
          <w:rFonts w:hint="eastAsia" w:ascii="仿宋_GB2312" w:hAnsi="仿宋" w:eastAsia="仿宋_GB2312" w:cs="Times New Roman"/>
          <w:sz w:val="32"/>
          <w:szCs w:val="32"/>
        </w:rPr>
        <w:t>分，</w:t>
      </w:r>
      <w:r>
        <w:rPr>
          <w:rFonts w:hint="eastAsia" w:ascii="仿宋_GB2312" w:hAnsi="仿宋" w:eastAsia="仿宋_GB2312" w:cs="Times New Roman"/>
          <w:sz w:val="32"/>
          <w:szCs w:val="32"/>
          <w:highlight w:val="none"/>
        </w:rPr>
        <w:t>评价得分</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0</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85</w:t>
      </w:r>
      <w:r>
        <w:rPr>
          <w:rFonts w:hint="eastAsia" w:ascii="仿宋_GB2312" w:hAnsi="仿宋" w:eastAsia="仿宋_GB2312" w:cs="Times New Roman"/>
          <w:sz w:val="32"/>
          <w:szCs w:val="32"/>
          <w:highlight w:val="none"/>
        </w:rPr>
        <w:t>分，得分率为</w:t>
      </w:r>
      <w:r>
        <w:rPr>
          <w:rFonts w:hint="eastAsia" w:ascii="Times New Roman" w:hAnsi="Times New Roman" w:eastAsia="仿宋_GB2312" w:cs="Times New Roman"/>
          <w:sz w:val="32"/>
          <w:szCs w:val="32"/>
          <w:highlight w:val="none"/>
          <w:lang w:val="en-US" w:eastAsia="zh-CN"/>
        </w:rPr>
        <w:t>69</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5</w:t>
      </w:r>
      <w:r>
        <w:rPr>
          <w:rFonts w:hint="eastAsia" w:ascii="仿宋_GB2312" w:hAnsi="仿宋" w:eastAsia="仿宋_GB2312" w:cs="Times New Roman"/>
          <w:sz w:val="32"/>
          <w:szCs w:val="32"/>
          <w:highlight w:val="none"/>
        </w:rPr>
        <w:t>%</w:t>
      </w:r>
      <w:r>
        <w:rPr>
          <w:rFonts w:hint="eastAsia" w:ascii="仿宋_GB2312" w:hAnsi="仿宋" w:eastAsia="仿宋_GB2312" w:cs="Times New Roman"/>
          <w:sz w:val="32"/>
          <w:szCs w:val="32"/>
        </w:rPr>
        <w:t>。效益类评价指标及评价得分情况见下表</w:t>
      </w:r>
      <w:r>
        <w:rPr>
          <w:rFonts w:hint="eastAsia" w:ascii="Times New Roman" w:hAnsi="Times New Roman" w:eastAsia="仿宋_GB2312" w:cs="Times New Roman"/>
          <w:sz w:val="32"/>
          <w:szCs w:val="32"/>
        </w:rPr>
        <w:t>3</w:t>
      </w:r>
      <w:r>
        <w:rPr>
          <w:rFonts w:hint="eastAsia" w:ascii="仿宋_GB2312" w:hAnsi="仿宋" w:eastAsia="仿宋_GB2312" w:cs="Times New Roman"/>
          <w:sz w:val="32"/>
          <w:szCs w:val="32"/>
        </w:rPr>
        <w:t>-</w:t>
      </w:r>
      <w:r>
        <w:rPr>
          <w:rFonts w:hint="eastAsia" w:ascii="Times New Roman" w:hAnsi="Times New Roman" w:eastAsia="仿宋_GB2312" w:cs="Times New Roman"/>
          <w:sz w:val="32"/>
          <w:szCs w:val="32"/>
        </w:rPr>
        <w:t>4</w:t>
      </w:r>
      <w:r>
        <w:rPr>
          <w:rFonts w:hint="eastAsia" w:ascii="仿宋_GB2312" w:hAnsi="仿宋" w:eastAsia="仿宋_GB2312" w:cs="Times New Roman"/>
          <w:sz w:val="32"/>
          <w:szCs w:val="32"/>
        </w:rPr>
        <w:t>。</w:t>
      </w:r>
    </w:p>
    <w:p>
      <w:pPr>
        <w:widowControl w:val="0"/>
        <w:overflowPunct w:val="0"/>
        <w:spacing w:line="480" w:lineRule="exact"/>
        <w:jc w:val="center"/>
        <w:rPr>
          <w:rFonts w:ascii="黑体" w:hAnsi="黑体" w:eastAsia="黑体"/>
          <w:sz w:val="28"/>
          <w:szCs w:val="28"/>
        </w:rPr>
      </w:pPr>
      <w:r>
        <w:rPr>
          <w:rFonts w:hint="eastAsia" w:ascii="黑体" w:hAnsi="黑体" w:eastAsia="黑体"/>
          <w:sz w:val="28"/>
          <w:szCs w:val="28"/>
        </w:rPr>
        <w:t>表</w:t>
      </w:r>
      <w:r>
        <w:rPr>
          <w:rFonts w:hint="eastAsia" w:ascii="Times New Roman" w:hAnsi="Times New Roman" w:eastAsia="黑体"/>
          <w:sz w:val="28"/>
          <w:szCs w:val="28"/>
        </w:rPr>
        <w:t>3</w:t>
      </w:r>
      <w:r>
        <w:rPr>
          <w:rFonts w:hint="eastAsia" w:ascii="黑体" w:hAnsi="黑体" w:eastAsia="黑体"/>
          <w:sz w:val="28"/>
          <w:szCs w:val="28"/>
        </w:rPr>
        <w:t>-</w:t>
      </w:r>
      <w:r>
        <w:rPr>
          <w:rFonts w:hint="eastAsia" w:ascii="Times New Roman" w:hAnsi="Times New Roman" w:eastAsia="黑体"/>
          <w:sz w:val="28"/>
          <w:szCs w:val="28"/>
        </w:rPr>
        <w:t>4</w:t>
      </w:r>
      <w:r>
        <w:rPr>
          <w:rFonts w:hint="eastAsia" w:ascii="黑体" w:hAnsi="黑体" w:eastAsia="黑体"/>
          <w:sz w:val="28"/>
          <w:szCs w:val="28"/>
        </w:rPr>
        <w:t xml:space="preserve"> 效益类指标及评价得分情况表</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832"/>
        <w:gridCol w:w="567"/>
        <w:gridCol w:w="1417"/>
        <w:gridCol w:w="567"/>
        <w:gridCol w:w="2835"/>
        <w:gridCol w:w="567"/>
        <w:gridCol w:w="709"/>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0" w:hRule="atLeast"/>
          <w:tblHeader/>
          <w:jc w:val="center"/>
        </w:trPr>
        <w:tc>
          <w:tcPr>
            <w:tcW w:w="832"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uto"/>
              <w:jc w:val="center"/>
              <w:rPr>
                <w:b/>
                <w:bCs/>
                <w:color w:val="000000"/>
                <w:sz w:val="20"/>
                <w:szCs w:val="20"/>
              </w:rPr>
            </w:pPr>
            <w:r>
              <w:rPr>
                <w:rFonts w:hint="eastAsia"/>
                <w:b/>
                <w:bCs/>
                <w:color w:val="000000"/>
                <w:sz w:val="20"/>
                <w:szCs w:val="20"/>
              </w:rPr>
              <w:t>一级指标</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uto"/>
              <w:jc w:val="center"/>
              <w:rPr>
                <w:b/>
                <w:bCs/>
                <w:color w:val="000000"/>
                <w:sz w:val="20"/>
                <w:szCs w:val="20"/>
              </w:rPr>
            </w:pPr>
            <w:r>
              <w:rPr>
                <w:rFonts w:hint="eastAsia"/>
                <w:b/>
                <w:bCs/>
                <w:color w:val="000000"/>
                <w:sz w:val="20"/>
                <w:szCs w:val="20"/>
              </w:rPr>
              <w:t>分值</w:t>
            </w:r>
          </w:p>
        </w:tc>
        <w:tc>
          <w:tcPr>
            <w:tcW w:w="141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uto"/>
              <w:jc w:val="center"/>
              <w:rPr>
                <w:b/>
                <w:bCs/>
                <w:color w:val="000000"/>
                <w:sz w:val="20"/>
                <w:szCs w:val="20"/>
              </w:rPr>
            </w:pPr>
            <w:r>
              <w:rPr>
                <w:rFonts w:hint="eastAsia"/>
                <w:b/>
                <w:bCs/>
                <w:color w:val="000000"/>
                <w:sz w:val="20"/>
                <w:szCs w:val="20"/>
              </w:rPr>
              <w:t>二级指标</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uto"/>
              <w:jc w:val="center"/>
              <w:rPr>
                <w:b/>
                <w:bCs/>
                <w:color w:val="000000"/>
                <w:sz w:val="20"/>
                <w:szCs w:val="20"/>
              </w:rPr>
            </w:pPr>
            <w:r>
              <w:rPr>
                <w:rFonts w:hint="eastAsia"/>
                <w:b/>
                <w:bCs/>
                <w:color w:val="000000"/>
                <w:sz w:val="20"/>
                <w:szCs w:val="20"/>
              </w:rPr>
              <w:t>分值</w:t>
            </w:r>
          </w:p>
        </w:tc>
        <w:tc>
          <w:tcPr>
            <w:tcW w:w="2835"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uto"/>
              <w:jc w:val="center"/>
              <w:rPr>
                <w:b/>
                <w:bCs/>
                <w:color w:val="000000"/>
                <w:sz w:val="20"/>
                <w:szCs w:val="20"/>
              </w:rPr>
            </w:pPr>
            <w:r>
              <w:rPr>
                <w:rFonts w:hint="eastAsia"/>
                <w:b/>
                <w:bCs/>
                <w:color w:val="000000"/>
                <w:sz w:val="20"/>
                <w:szCs w:val="20"/>
              </w:rPr>
              <w:t>三级指标</w:t>
            </w:r>
          </w:p>
        </w:tc>
        <w:tc>
          <w:tcPr>
            <w:tcW w:w="567"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uto"/>
              <w:jc w:val="center"/>
              <w:rPr>
                <w:b/>
                <w:bCs/>
                <w:color w:val="000000"/>
                <w:sz w:val="20"/>
                <w:szCs w:val="20"/>
              </w:rPr>
            </w:pPr>
            <w:r>
              <w:rPr>
                <w:rFonts w:hint="eastAsia"/>
                <w:b/>
                <w:bCs/>
                <w:color w:val="000000"/>
                <w:sz w:val="20"/>
                <w:szCs w:val="20"/>
              </w:rPr>
              <w:t>分值</w:t>
            </w:r>
          </w:p>
        </w:tc>
        <w:tc>
          <w:tcPr>
            <w:tcW w:w="709"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uto"/>
              <w:jc w:val="center"/>
              <w:rPr>
                <w:b/>
                <w:bCs/>
                <w:color w:val="000000"/>
                <w:sz w:val="20"/>
                <w:szCs w:val="20"/>
              </w:rPr>
            </w:pPr>
            <w:r>
              <w:rPr>
                <w:rFonts w:hint="eastAsia"/>
                <w:b/>
                <w:bCs/>
                <w:color w:val="000000"/>
                <w:sz w:val="20"/>
                <w:szCs w:val="20"/>
              </w:rPr>
              <w:t>评价得分</w:t>
            </w:r>
          </w:p>
        </w:tc>
        <w:tc>
          <w:tcPr>
            <w:tcW w:w="1028" w:type="dxa"/>
            <w:tcBorders>
              <w:top w:val="single" w:color="auto" w:sz="4" w:space="0"/>
              <w:left w:val="single" w:color="auto" w:sz="4" w:space="0"/>
              <w:bottom w:val="single" w:color="auto" w:sz="4" w:space="0"/>
              <w:right w:val="single" w:color="auto" w:sz="4" w:space="0"/>
            </w:tcBorders>
            <w:shd w:val="clear" w:color="auto" w:fill="BEBEBE"/>
            <w:vAlign w:val="center"/>
          </w:tcPr>
          <w:p>
            <w:pPr>
              <w:spacing w:line="240" w:lineRule="auto"/>
              <w:jc w:val="center"/>
              <w:rPr>
                <w:b/>
                <w:bCs/>
                <w:color w:val="000000"/>
                <w:sz w:val="20"/>
                <w:szCs w:val="20"/>
              </w:rPr>
            </w:pPr>
            <w:r>
              <w:rPr>
                <w:rFonts w:hint="eastAsia"/>
                <w:b/>
                <w:bCs/>
                <w:color w:val="000000"/>
                <w:sz w:val="20"/>
                <w:szCs w:val="20"/>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0" w:hRule="atLeast"/>
          <w:jc w:val="center"/>
        </w:trPr>
        <w:tc>
          <w:tcPr>
            <w:tcW w:w="832" w:type="dxa"/>
            <w:vMerge w:val="restart"/>
            <w:tcBorders>
              <w:top w:val="single" w:color="auto" w:sz="4" w:space="0"/>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r>
              <w:rPr>
                <w:rFonts w:hint="eastAsia" w:ascii="Times New Roman" w:hAnsi="Times New Roman" w:cs="仿宋_GB2312"/>
                <w:color w:val="000000"/>
                <w:sz w:val="20"/>
                <w:szCs w:val="20"/>
              </w:rPr>
              <w:t>D</w:t>
            </w:r>
            <w:r>
              <w:rPr>
                <w:rFonts w:hint="eastAsia" w:cs="仿宋_GB2312"/>
                <w:color w:val="000000"/>
                <w:sz w:val="20"/>
                <w:szCs w:val="20"/>
              </w:rPr>
              <w:t>效益</w:t>
            </w:r>
          </w:p>
        </w:tc>
        <w:tc>
          <w:tcPr>
            <w:tcW w:w="567" w:type="dxa"/>
            <w:vMerge w:val="restart"/>
            <w:tcBorders>
              <w:top w:val="single" w:color="auto" w:sz="4" w:space="0"/>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r>
              <w:rPr>
                <w:rFonts w:hint="eastAsia" w:ascii="Times New Roman" w:hAnsi="Times New Roman" w:cs="仿宋_GB2312"/>
                <w:color w:val="000000"/>
                <w:sz w:val="20"/>
                <w:szCs w:val="20"/>
              </w:rPr>
              <w:t>30</w:t>
            </w:r>
          </w:p>
        </w:tc>
        <w:tc>
          <w:tcPr>
            <w:tcW w:w="1417" w:type="dxa"/>
            <w:tcBorders>
              <w:top w:val="single" w:color="auto" w:sz="4" w:space="0"/>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r>
              <w:rPr>
                <w:rFonts w:ascii="Times New Roman" w:hAnsi="Times New Roman" w:cs="仿宋_GB2312"/>
                <w:color w:val="000000"/>
                <w:sz w:val="20"/>
                <w:szCs w:val="20"/>
              </w:rPr>
              <w:t>D</w:t>
            </w:r>
            <w:r>
              <w:rPr>
                <w:rFonts w:hint="eastAsia" w:ascii="Times New Roman" w:hAnsi="Times New Roman" w:cs="仿宋_GB2312"/>
                <w:color w:val="000000"/>
                <w:sz w:val="20"/>
                <w:szCs w:val="20"/>
              </w:rPr>
              <w:t>1</w:t>
            </w:r>
            <w:r>
              <w:rPr>
                <w:rFonts w:cs="仿宋_GB2312"/>
                <w:color w:val="000000"/>
                <w:sz w:val="20"/>
                <w:szCs w:val="20"/>
              </w:rPr>
              <w:t xml:space="preserve"> </w:t>
            </w:r>
            <w:r>
              <w:rPr>
                <w:rFonts w:hint="eastAsia" w:cs="仿宋_GB2312"/>
                <w:color w:val="000000"/>
                <w:sz w:val="20"/>
                <w:szCs w:val="20"/>
              </w:rPr>
              <w:t>经济效益</w:t>
            </w:r>
          </w:p>
        </w:tc>
        <w:tc>
          <w:tcPr>
            <w:tcW w:w="567" w:type="dxa"/>
            <w:tcBorders>
              <w:top w:val="single" w:color="auto" w:sz="4" w:space="0"/>
              <w:left w:val="single" w:color="auto" w:sz="4" w:space="0"/>
              <w:right w:val="single" w:color="auto" w:sz="4" w:space="0"/>
            </w:tcBorders>
            <w:vAlign w:val="center"/>
          </w:tcPr>
          <w:p>
            <w:pPr>
              <w:spacing w:line="240" w:lineRule="auto"/>
              <w:jc w:val="center"/>
              <w:textAlignment w:val="center"/>
              <w:rPr>
                <w:rFonts w:hint="eastAsia" w:eastAsia="宋体" w:cs="仿宋_GB2312"/>
                <w:color w:val="000000"/>
                <w:sz w:val="20"/>
                <w:szCs w:val="20"/>
                <w:lang w:eastAsia="zh-CN"/>
              </w:rPr>
            </w:pPr>
            <w:r>
              <w:rPr>
                <w:rFonts w:hint="eastAsia" w:ascii="Times New Roman" w:hAnsi="Times New Roman" w:cs="仿宋_GB2312"/>
                <w:color w:val="000000"/>
                <w:sz w:val="20"/>
                <w:szCs w:val="20"/>
                <w:lang w:val="en-US" w:eastAsia="zh-CN"/>
              </w:rPr>
              <w:t>5</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hint="default" w:eastAsia="宋体" w:cs="仿宋"/>
                <w:sz w:val="20"/>
                <w:szCs w:val="20"/>
                <w:lang w:val="en-US" w:eastAsia="zh-CN"/>
              </w:rPr>
            </w:pPr>
            <w:r>
              <w:rPr>
                <w:rFonts w:ascii="Times New Roman" w:hAnsi="Times New Roman" w:cs="仿宋"/>
                <w:sz w:val="20"/>
                <w:szCs w:val="20"/>
              </w:rPr>
              <w:t>D</w:t>
            </w:r>
            <w:r>
              <w:rPr>
                <w:rFonts w:hint="eastAsia" w:ascii="Times New Roman" w:hAnsi="Times New Roman" w:cs="仿宋"/>
                <w:sz w:val="20"/>
                <w:szCs w:val="20"/>
              </w:rPr>
              <w:t>11</w:t>
            </w:r>
            <w:r>
              <w:rPr>
                <w:rFonts w:hint="eastAsia" w:cs="仿宋"/>
                <w:sz w:val="20"/>
                <w:szCs w:val="20"/>
                <w:lang w:val="en-US" w:eastAsia="zh-CN"/>
              </w:rPr>
              <w:t>带动地方经济发展</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hint="eastAsia" w:eastAsia="宋体" w:cs="仿宋"/>
                <w:sz w:val="20"/>
                <w:szCs w:val="20"/>
                <w:lang w:eastAsia="zh-CN"/>
              </w:rPr>
            </w:pPr>
            <w:r>
              <w:rPr>
                <w:rFonts w:hint="eastAsia" w:ascii="Times New Roman" w:hAnsi="Times New Roman" w:cs="仿宋"/>
                <w:sz w:val="20"/>
                <w:szCs w:val="20"/>
                <w:lang w:val="en-US" w:eastAsia="zh-CN"/>
              </w:rPr>
              <w:t>5</w:t>
            </w: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center"/>
              <w:rPr>
                <w:rFonts w:hint="eastAsia" w:ascii="Times New Roman" w:hAnsi="Times New Roman" w:eastAsia="宋体" w:cs="仿宋_GB2312"/>
                <w:color w:val="000000"/>
                <w:sz w:val="20"/>
                <w:szCs w:val="20"/>
                <w:highlight w:val="none"/>
                <w:lang w:eastAsia="zh-CN"/>
              </w:rPr>
            </w:pPr>
            <w:r>
              <w:rPr>
                <w:rFonts w:hint="eastAsia" w:ascii="Times New Roman" w:hAnsi="Times New Roman" w:cs="仿宋_GB2312"/>
                <w:color w:val="000000"/>
                <w:sz w:val="20"/>
                <w:szCs w:val="20"/>
                <w:highlight w:val="none"/>
                <w:lang w:val="en-US" w:eastAsia="zh-CN"/>
              </w:rPr>
              <w:t>3</w:t>
            </w:r>
          </w:p>
        </w:tc>
        <w:tc>
          <w:tcPr>
            <w:tcW w:w="1028"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center"/>
              <w:rPr>
                <w:rFonts w:ascii="Times New Roman" w:hAnsi="Times New Roman" w:cs="仿宋_GB2312"/>
                <w:color w:val="000000"/>
                <w:sz w:val="20"/>
                <w:szCs w:val="20"/>
                <w:highlight w:val="none"/>
              </w:rPr>
            </w:pPr>
            <w:r>
              <w:rPr>
                <w:rFonts w:hint="eastAsia" w:ascii="Times New Roman" w:hAnsi="Times New Roman" w:cs="仿宋_GB2312"/>
                <w:color w:val="000000"/>
                <w:sz w:val="20"/>
                <w:szCs w:val="20"/>
                <w:highlight w:val="none"/>
                <w:lang w:val="en-US" w:eastAsia="zh-CN"/>
              </w:rPr>
              <w:t>6</w:t>
            </w:r>
            <w:r>
              <w:rPr>
                <w:rFonts w:hint="eastAsia" w:ascii="Times New Roman" w:hAnsi="Times New Roman" w:cs="仿宋_GB2312"/>
                <w:color w:val="000000"/>
                <w:sz w:val="20"/>
                <w:szCs w:val="20"/>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0" w:hRule="atLeast"/>
          <w:jc w:val="center"/>
        </w:trPr>
        <w:tc>
          <w:tcPr>
            <w:tcW w:w="832" w:type="dxa"/>
            <w:vMerge w:val="continue"/>
            <w:tcBorders>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p>
        </w:tc>
        <w:tc>
          <w:tcPr>
            <w:tcW w:w="567" w:type="dxa"/>
            <w:vMerge w:val="continue"/>
            <w:tcBorders>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p>
        </w:tc>
        <w:tc>
          <w:tcPr>
            <w:tcW w:w="1417" w:type="dxa"/>
            <w:vMerge w:val="restart"/>
            <w:tcBorders>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r>
              <w:rPr>
                <w:rFonts w:ascii="Times New Roman" w:hAnsi="Times New Roman" w:cs="仿宋_GB2312"/>
                <w:color w:val="000000"/>
                <w:sz w:val="20"/>
                <w:szCs w:val="20"/>
              </w:rPr>
              <w:t>D</w:t>
            </w:r>
            <w:r>
              <w:rPr>
                <w:rFonts w:hint="eastAsia" w:ascii="Times New Roman" w:hAnsi="Times New Roman" w:cs="仿宋_GB2312"/>
                <w:color w:val="000000"/>
                <w:sz w:val="20"/>
                <w:szCs w:val="20"/>
              </w:rPr>
              <w:t>2</w:t>
            </w:r>
            <w:r>
              <w:rPr>
                <w:rFonts w:hint="eastAsia" w:cs="仿宋_GB2312"/>
                <w:color w:val="000000"/>
                <w:sz w:val="20"/>
                <w:szCs w:val="20"/>
              </w:rPr>
              <w:t>社会效益</w:t>
            </w:r>
          </w:p>
        </w:tc>
        <w:tc>
          <w:tcPr>
            <w:tcW w:w="567" w:type="dxa"/>
            <w:vMerge w:val="restart"/>
            <w:tcBorders>
              <w:left w:val="single" w:color="auto" w:sz="4" w:space="0"/>
              <w:right w:val="single" w:color="auto" w:sz="4" w:space="0"/>
            </w:tcBorders>
            <w:vAlign w:val="center"/>
          </w:tcPr>
          <w:p>
            <w:pPr>
              <w:spacing w:line="240" w:lineRule="auto"/>
              <w:jc w:val="center"/>
              <w:textAlignment w:val="center"/>
              <w:rPr>
                <w:rFonts w:hint="eastAsia" w:eastAsia="宋体" w:cs="仿宋_GB2312"/>
                <w:color w:val="000000"/>
                <w:sz w:val="20"/>
                <w:szCs w:val="20"/>
                <w:lang w:eastAsia="zh-CN"/>
              </w:rPr>
            </w:pPr>
            <w:r>
              <w:rPr>
                <w:rFonts w:hint="eastAsia" w:cs="仿宋_GB2312"/>
                <w:color w:val="000000"/>
                <w:sz w:val="20"/>
                <w:szCs w:val="20"/>
                <w:lang w:val="en-US" w:eastAsia="zh-CN"/>
              </w:rPr>
              <w:t>8</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hint="default" w:eastAsia="宋体" w:cs="仿宋"/>
                <w:sz w:val="20"/>
                <w:szCs w:val="20"/>
                <w:lang w:val="en-US" w:eastAsia="zh-CN"/>
              </w:rPr>
            </w:pPr>
            <w:r>
              <w:rPr>
                <w:rFonts w:ascii="Times New Roman" w:hAnsi="Times New Roman" w:cs="仿宋"/>
                <w:sz w:val="20"/>
                <w:szCs w:val="20"/>
              </w:rPr>
              <w:t>D</w:t>
            </w:r>
            <w:r>
              <w:rPr>
                <w:rFonts w:hint="eastAsia" w:ascii="Times New Roman" w:hAnsi="Times New Roman" w:cs="仿宋"/>
                <w:sz w:val="20"/>
                <w:szCs w:val="20"/>
              </w:rPr>
              <w:t>21</w:t>
            </w:r>
            <w:r>
              <w:rPr>
                <w:rFonts w:hint="eastAsia" w:ascii="Times New Roman" w:hAnsi="Times New Roman" w:cs="仿宋"/>
                <w:sz w:val="20"/>
                <w:szCs w:val="20"/>
                <w:lang w:val="en-US" w:eastAsia="zh-CN"/>
              </w:rPr>
              <w:t>解决村民出行难题</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hint="eastAsia" w:eastAsia="宋体" w:cs="仿宋"/>
                <w:sz w:val="20"/>
                <w:szCs w:val="20"/>
                <w:lang w:eastAsia="zh-CN"/>
              </w:rPr>
            </w:pPr>
            <w:r>
              <w:rPr>
                <w:rFonts w:hint="eastAsia" w:ascii="Times New Roman" w:hAnsi="Times New Roman" w:cs="仿宋"/>
                <w:sz w:val="20"/>
                <w:szCs w:val="20"/>
                <w:lang w:val="en-US" w:eastAsia="zh-CN"/>
              </w:rPr>
              <w:t>4</w:t>
            </w: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center"/>
              <w:rPr>
                <w:rFonts w:hint="eastAsia" w:ascii="Times New Roman" w:hAnsi="Times New Roman" w:eastAsia="宋体" w:cs="仿宋_GB2312"/>
                <w:color w:val="000000"/>
                <w:sz w:val="20"/>
                <w:szCs w:val="20"/>
                <w:highlight w:val="none"/>
                <w:lang w:eastAsia="zh-CN"/>
              </w:rPr>
            </w:pPr>
            <w:r>
              <w:rPr>
                <w:rFonts w:hint="eastAsia" w:ascii="Times New Roman" w:hAnsi="Times New Roman" w:cs="仿宋_GB2312"/>
                <w:color w:val="000000"/>
                <w:sz w:val="20"/>
                <w:szCs w:val="20"/>
                <w:highlight w:val="none"/>
                <w:lang w:val="en-US" w:eastAsia="zh-CN"/>
              </w:rPr>
              <w:t>4</w:t>
            </w:r>
          </w:p>
        </w:tc>
        <w:tc>
          <w:tcPr>
            <w:tcW w:w="1028"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center"/>
              <w:rPr>
                <w:rFonts w:ascii="Times New Roman" w:hAnsi="Times New Roman" w:cs="仿宋_GB2312"/>
                <w:color w:val="000000"/>
                <w:sz w:val="20"/>
                <w:szCs w:val="20"/>
                <w:highlight w:val="none"/>
              </w:rPr>
            </w:pPr>
            <w:r>
              <w:rPr>
                <w:rFonts w:hint="eastAsia" w:ascii="Times New Roman" w:hAnsi="Times New Roman" w:cs="仿宋_GB2312"/>
                <w:color w:val="000000"/>
                <w:sz w:val="20"/>
                <w:szCs w:val="20"/>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0" w:hRule="atLeast"/>
          <w:jc w:val="center"/>
        </w:trPr>
        <w:tc>
          <w:tcPr>
            <w:tcW w:w="832" w:type="dxa"/>
            <w:vMerge w:val="continue"/>
            <w:tcBorders>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p>
        </w:tc>
        <w:tc>
          <w:tcPr>
            <w:tcW w:w="567" w:type="dxa"/>
            <w:vMerge w:val="continue"/>
            <w:tcBorders>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p>
        </w:tc>
        <w:tc>
          <w:tcPr>
            <w:tcW w:w="1417" w:type="dxa"/>
            <w:vMerge w:val="continue"/>
            <w:tcBorders>
              <w:left w:val="single" w:color="auto" w:sz="4" w:space="0"/>
              <w:right w:val="single" w:color="auto" w:sz="4" w:space="0"/>
            </w:tcBorders>
            <w:vAlign w:val="center"/>
          </w:tcPr>
          <w:p>
            <w:pPr>
              <w:spacing w:line="240" w:lineRule="auto"/>
              <w:jc w:val="center"/>
              <w:textAlignment w:val="center"/>
              <w:rPr>
                <w:rFonts w:ascii="Times New Roman" w:hAnsi="Times New Roman" w:cs="仿宋_GB2312"/>
                <w:color w:val="000000"/>
                <w:sz w:val="20"/>
                <w:szCs w:val="20"/>
              </w:rPr>
            </w:pPr>
          </w:p>
        </w:tc>
        <w:tc>
          <w:tcPr>
            <w:tcW w:w="567" w:type="dxa"/>
            <w:vMerge w:val="continue"/>
            <w:tcBorders>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hint="eastAsia" w:ascii="Times New Roman" w:hAnsi="Times New Roman" w:eastAsia="宋体" w:cs="仿宋"/>
                <w:sz w:val="20"/>
                <w:szCs w:val="20"/>
                <w:lang w:val="en-US" w:eastAsia="zh-CN"/>
              </w:rPr>
            </w:pPr>
            <w:r>
              <w:rPr>
                <w:rFonts w:ascii="Times New Roman" w:hAnsi="Times New Roman" w:cs="仿宋"/>
                <w:sz w:val="20"/>
                <w:szCs w:val="20"/>
              </w:rPr>
              <w:t>D</w:t>
            </w:r>
            <w:r>
              <w:rPr>
                <w:rFonts w:hint="eastAsia" w:ascii="Times New Roman" w:hAnsi="Times New Roman" w:cs="仿宋"/>
                <w:sz w:val="20"/>
                <w:szCs w:val="20"/>
              </w:rPr>
              <w:t>22改善农民生产生活</w:t>
            </w:r>
            <w:r>
              <w:rPr>
                <w:rFonts w:hint="eastAsia" w:ascii="Times New Roman" w:hAnsi="Times New Roman" w:cs="仿宋"/>
                <w:sz w:val="20"/>
                <w:szCs w:val="20"/>
                <w:lang w:val="en-US" w:eastAsia="zh-CN"/>
              </w:rPr>
              <w:t>条件</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hint="eastAsia" w:ascii="Times New Roman" w:hAnsi="Times New Roman" w:eastAsia="宋体" w:cs="仿宋"/>
                <w:sz w:val="20"/>
                <w:szCs w:val="20"/>
                <w:lang w:eastAsia="zh-CN"/>
              </w:rPr>
            </w:pPr>
            <w:r>
              <w:rPr>
                <w:rFonts w:hint="eastAsia" w:ascii="Times New Roman" w:hAnsi="Times New Roman" w:cs="仿宋"/>
                <w:sz w:val="20"/>
                <w:szCs w:val="20"/>
                <w:lang w:val="en-US" w:eastAsia="zh-CN"/>
              </w:rPr>
              <w:t>4</w:t>
            </w: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center"/>
              <w:rPr>
                <w:rFonts w:ascii="Times New Roman" w:hAnsi="Times New Roman" w:cs="仿宋_GB2312"/>
                <w:color w:val="000000"/>
                <w:sz w:val="20"/>
                <w:szCs w:val="20"/>
                <w:highlight w:val="none"/>
              </w:rPr>
            </w:pPr>
            <w:r>
              <w:rPr>
                <w:rFonts w:hint="eastAsia" w:ascii="Times New Roman" w:hAnsi="Times New Roman" w:cs="仿宋_GB2312"/>
                <w:color w:val="000000"/>
                <w:sz w:val="20"/>
                <w:szCs w:val="20"/>
                <w:highlight w:val="none"/>
              </w:rPr>
              <w:t>3</w:t>
            </w:r>
          </w:p>
        </w:tc>
        <w:tc>
          <w:tcPr>
            <w:tcW w:w="1028"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center"/>
              <w:rPr>
                <w:rFonts w:hint="default" w:ascii="Times New Roman" w:hAnsi="Times New Roman" w:eastAsia="宋体" w:cs="仿宋_GB2312"/>
                <w:color w:val="000000"/>
                <w:sz w:val="20"/>
                <w:szCs w:val="20"/>
                <w:highlight w:val="none"/>
                <w:lang w:val="en-US" w:eastAsia="zh-CN"/>
              </w:rPr>
            </w:pPr>
            <w:r>
              <w:rPr>
                <w:rFonts w:hint="eastAsia" w:ascii="Times New Roman" w:hAnsi="Times New Roman" w:cs="仿宋_GB2312"/>
                <w:color w:val="000000"/>
                <w:sz w:val="20"/>
                <w:szCs w:val="20"/>
                <w:highlight w:val="none"/>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0" w:hRule="atLeast"/>
          <w:jc w:val="center"/>
        </w:trPr>
        <w:tc>
          <w:tcPr>
            <w:tcW w:w="832" w:type="dxa"/>
            <w:vMerge w:val="continue"/>
            <w:tcBorders>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p>
        </w:tc>
        <w:tc>
          <w:tcPr>
            <w:tcW w:w="567" w:type="dxa"/>
            <w:vMerge w:val="continue"/>
            <w:tcBorders>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p>
        </w:tc>
        <w:tc>
          <w:tcPr>
            <w:tcW w:w="1417" w:type="dxa"/>
            <w:vMerge w:val="restart"/>
            <w:tcBorders>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r>
              <w:rPr>
                <w:rFonts w:ascii="Times New Roman" w:hAnsi="Times New Roman" w:cs="仿宋_GB2312"/>
                <w:color w:val="000000"/>
                <w:sz w:val="20"/>
                <w:szCs w:val="20"/>
              </w:rPr>
              <w:t>D</w:t>
            </w:r>
            <w:r>
              <w:rPr>
                <w:rFonts w:hint="eastAsia" w:ascii="Times New Roman" w:hAnsi="Times New Roman" w:cs="仿宋_GB2312"/>
                <w:color w:val="000000"/>
                <w:sz w:val="20"/>
                <w:szCs w:val="20"/>
                <w:lang w:val="en-US" w:eastAsia="zh-CN"/>
              </w:rPr>
              <w:t>3</w:t>
            </w:r>
            <w:r>
              <w:rPr>
                <w:rFonts w:hint="eastAsia" w:cs="仿宋_GB2312"/>
                <w:color w:val="000000"/>
                <w:sz w:val="20"/>
                <w:szCs w:val="20"/>
              </w:rPr>
              <w:t>可持续影响</w:t>
            </w:r>
          </w:p>
        </w:tc>
        <w:tc>
          <w:tcPr>
            <w:tcW w:w="567" w:type="dxa"/>
            <w:vMerge w:val="restart"/>
            <w:tcBorders>
              <w:left w:val="single" w:color="auto" w:sz="4" w:space="0"/>
              <w:right w:val="single" w:color="auto" w:sz="4" w:space="0"/>
            </w:tcBorders>
            <w:vAlign w:val="center"/>
          </w:tcPr>
          <w:p>
            <w:pPr>
              <w:widowControl w:val="0"/>
              <w:spacing w:line="240" w:lineRule="auto"/>
              <w:jc w:val="center"/>
              <w:textAlignment w:val="center"/>
              <w:rPr>
                <w:rFonts w:hint="eastAsia" w:eastAsia="宋体" w:cs="仿宋_GB2312"/>
                <w:color w:val="000000"/>
                <w:sz w:val="20"/>
                <w:szCs w:val="20"/>
                <w:lang w:eastAsia="zh-CN"/>
              </w:rPr>
            </w:pPr>
            <w:r>
              <w:rPr>
                <w:rFonts w:hint="eastAsia" w:ascii="Times New Roman" w:hAnsi="Times New Roman" w:cs="仿宋_GB2312"/>
                <w:color w:val="000000"/>
                <w:sz w:val="20"/>
                <w:szCs w:val="20"/>
                <w:lang w:val="en-US" w:eastAsia="zh-CN"/>
              </w:rPr>
              <w:t>9</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hint="default" w:eastAsia="宋体" w:cs="仿宋"/>
                <w:sz w:val="20"/>
                <w:szCs w:val="20"/>
                <w:lang w:val="en-US" w:eastAsia="zh-CN"/>
              </w:rPr>
            </w:pPr>
            <w:r>
              <w:rPr>
                <w:rFonts w:ascii="Times New Roman" w:hAnsi="Times New Roman" w:cs="仿宋"/>
                <w:sz w:val="20"/>
                <w:szCs w:val="20"/>
              </w:rPr>
              <w:t>D</w:t>
            </w:r>
            <w:r>
              <w:rPr>
                <w:rFonts w:hint="eastAsia" w:ascii="Times New Roman" w:hAnsi="Times New Roman" w:cs="仿宋"/>
                <w:sz w:val="20"/>
                <w:szCs w:val="20"/>
                <w:lang w:val="en-US" w:eastAsia="zh-CN"/>
              </w:rPr>
              <w:t>3</w:t>
            </w:r>
            <w:r>
              <w:rPr>
                <w:rFonts w:hint="eastAsia" w:ascii="Times New Roman" w:hAnsi="Times New Roman" w:cs="仿宋"/>
                <w:sz w:val="20"/>
                <w:szCs w:val="20"/>
              </w:rPr>
              <w:t>1</w:t>
            </w:r>
            <w:r>
              <w:rPr>
                <w:rFonts w:hint="eastAsia" w:ascii="Times New Roman" w:hAnsi="Times New Roman" w:cs="仿宋"/>
                <w:sz w:val="20"/>
                <w:szCs w:val="20"/>
                <w:lang w:val="en-US" w:eastAsia="zh-CN"/>
              </w:rPr>
              <w:t>工程设计使用年限</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cs="仿宋"/>
                <w:sz w:val="20"/>
                <w:szCs w:val="20"/>
              </w:rPr>
            </w:pPr>
            <w:r>
              <w:rPr>
                <w:rFonts w:hint="eastAsia" w:ascii="Times New Roman" w:hAnsi="Times New Roman" w:cs="仿宋"/>
                <w:sz w:val="20"/>
                <w:szCs w:val="20"/>
              </w:rPr>
              <w:t>4</w:t>
            </w: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center"/>
              <w:rPr>
                <w:rFonts w:hint="eastAsia" w:ascii="Times New Roman" w:hAnsi="Times New Roman" w:eastAsia="宋体" w:cs="仿宋_GB2312"/>
                <w:color w:val="000000"/>
                <w:sz w:val="20"/>
                <w:szCs w:val="20"/>
                <w:highlight w:val="none"/>
                <w:lang w:eastAsia="zh-CN"/>
              </w:rPr>
            </w:pPr>
            <w:r>
              <w:rPr>
                <w:rFonts w:hint="eastAsia" w:ascii="Times New Roman" w:hAnsi="Times New Roman" w:cs="仿宋_GB2312"/>
                <w:color w:val="000000"/>
                <w:sz w:val="20"/>
                <w:szCs w:val="20"/>
                <w:highlight w:val="none"/>
                <w:lang w:val="en-US" w:eastAsia="zh-CN"/>
              </w:rPr>
              <w:t>2</w:t>
            </w:r>
          </w:p>
        </w:tc>
        <w:tc>
          <w:tcPr>
            <w:tcW w:w="1028"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center"/>
              <w:rPr>
                <w:rFonts w:ascii="Times New Roman" w:hAnsi="Times New Roman" w:cs="仿宋_GB2312"/>
                <w:color w:val="000000"/>
                <w:sz w:val="20"/>
                <w:szCs w:val="20"/>
                <w:highlight w:val="none"/>
              </w:rPr>
            </w:pPr>
            <w:r>
              <w:rPr>
                <w:rFonts w:hint="eastAsia" w:ascii="Times New Roman" w:hAnsi="Times New Roman" w:cs="仿宋_GB2312"/>
                <w:color w:val="000000"/>
                <w:sz w:val="20"/>
                <w:szCs w:val="20"/>
                <w:highlight w:val="none"/>
                <w:lang w:val="en-US" w:eastAsia="zh-CN"/>
              </w:rPr>
              <w:t>5</w:t>
            </w:r>
            <w:r>
              <w:rPr>
                <w:rFonts w:hint="eastAsia" w:ascii="Times New Roman" w:hAnsi="Times New Roman" w:cs="仿宋_GB2312"/>
                <w:color w:val="000000"/>
                <w:sz w:val="20"/>
                <w:szCs w:val="20"/>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0" w:hRule="atLeast"/>
          <w:jc w:val="center"/>
        </w:trPr>
        <w:tc>
          <w:tcPr>
            <w:tcW w:w="832" w:type="dxa"/>
            <w:vMerge w:val="continue"/>
            <w:tcBorders>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p>
        </w:tc>
        <w:tc>
          <w:tcPr>
            <w:tcW w:w="567" w:type="dxa"/>
            <w:vMerge w:val="continue"/>
            <w:tcBorders>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p>
        </w:tc>
        <w:tc>
          <w:tcPr>
            <w:tcW w:w="1417" w:type="dxa"/>
            <w:vMerge w:val="continue"/>
            <w:tcBorders>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p>
        </w:tc>
        <w:tc>
          <w:tcPr>
            <w:tcW w:w="567" w:type="dxa"/>
            <w:vMerge w:val="continue"/>
            <w:tcBorders>
              <w:left w:val="single" w:color="auto" w:sz="4" w:space="0"/>
              <w:right w:val="single" w:color="auto" w:sz="4" w:space="0"/>
            </w:tcBorders>
            <w:vAlign w:val="center"/>
          </w:tcPr>
          <w:p>
            <w:pPr>
              <w:widowControl w:val="0"/>
              <w:spacing w:line="240" w:lineRule="auto"/>
              <w:jc w:val="center"/>
              <w:textAlignment w:val="center"/>
              <w:rPr>
                <w:rFonts w:cs="仿宋_GB2312"/>
                <w:color w:val="000000"/>
                <w:sz w:val="20"/>
                <w:szCs w:val="20"/>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color w:val="000000"/>
                <w:sz w:val="20"/>
                <w:szCs w:val="20"/>
              </w:rPr>
            </w:pPr>
            <w:r>
              <w:rPr>
                <w:rFonts w:ascii="Times New Roman" w:hAnsi="Times New Roman" w:cs="仿宋"/>
                <w:sz w:val="20"/>
                <w:szCs w:val="20"/>
              </w:rPr>
              <w:t>D</w:t>
            </w:r>
            <w:r>
              <w:rPr>
                <w:rFonts w:hint="eastAsia" w:ascii="Times New Roman" w:hAnsi="Times New Roman" w:cs="仿宋"/>
                <w:sz w:val="20"/>
                <w:szCs w:val="20"/>
                <w:lang w:val="en-US" w:eastAsia="zh-CN"/>
              </w:rPr>
              <w:t>32</w:t>
            </w:r>
            <w:r>
              <w:rPr>
                <w:rFonts w:hint="eastAsia" w:cs="仿宋"/>
                <w:sz w:val="20"/>
                <w:szCs w:val="20"/>
              </w:rPr>
              <w:t>后期维护管护</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cs="仿宋"/>
                <w:sz w:val="20"/>
                <w:szCs w:val="20"/>
              </w:rPr>
            </w:pPr>
            <w:r>
              <w:rPr>
                <w:rFonts w:hint="eastAsia" w:ascii="Times New Roman" w:hAnsi="Times New Roman" w:cs="仿宋"/>
                <w:sz w:val="20"/>
                <w:szCs w:val="20"/>
              </w:rPr>
              <w:t>5</w:t>
            </w: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center"/>
              <w:rPr>
                <w:rFonts w:ascii="Times New Roman" w:hAnsi="Times New Roman" w:cs="仿宋_GB2312"/>
                <w:color w:val="000000"/>
                <w:sz w:val="20"/>
                <w:szCs w:val="20"/>
                <w:highlight w:val="none"/>
              </w:rPr>
            </w:pPr>
            <w:r>
              <w:rPr>
                <w:rFonts w:hint="eastAsia" w:ascii="Times New Roman" w:hAnsi="Times New Roman" w:cs="仿宋_GB2312"/>
                <w:color w:val="000000"/>
                <w:sz w:val="20"/>
                <w:szCs w:val="20"/>
                <w:highlight w:val="none"/>
              </w:rPr>
              <w:t>2</w:t>
            </w:r>
          </w:p>
        </w:tc>
        <w:tc>
          <w:tcPr>
            <w:tcW w:w="1028"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center"/>
              <w:rPr>
                <w:rFonts w:ascii="Times New Roman" w:hAnsi="Times New Roman" w:cs="仿宋_GB2312"/>
                <w:color w:val="000000"/>
                <w:sz w:val="20"/>
                <w:szCs w:val="20"/>
                <w:highlight w:val="none"/>
              </w:rPr>
            </w:pPr>
            <w:r>
              <w:rPr>
                <w:rFonts w:ascii="Times New Roman" w:hAnsi="Times New Roman" w:cs="仿宋_GB2312"/>
                <w:color w:val="000000"/>
                <w:sz w:val="20"/>
                <w:szCs w:val="20"/>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0" w:hRule="atLeast"/>
          <w:jc w:val="center"/>
        </w:trPr>
        <w:tc>
          <w:tcPr>
            <w:tcW w:w="832" w:type="dxa"/>
            <w:vMerge w:val="continue"/>
            <w:tcBorders>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p>
        </w:tc>
        <w:tc>
          <w:tcPr>
            <w:tcW w:w="567" w:type="dxa"/>
            <w:vMerge w:val="continue"/>
            <w:tcBorders>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p>
        </w:tc>
        <w:tc>
          <w:tcPr>
            <w:tcW w:w="1417" w:type="dxa"/>
            <w:tcBorders>
              <w:left w:val="single" w:color="auto" w:sz="4" w:space="0"/>
              <w:right w:val="single" w:color="auto" w:sz="4" w:space="0"/>
            </w:tcBorders>
            <w:vAlign w:val="center"/>
          </w:tcPr>
          <w:p>
            <w:pPr>
              <w:spacing w:line="240" w:lineRule="auto"/>
              <w:jc w:val="center"/>
              <w:textAlignment w:val="center"/>
              <w:rPr>
                <w:rFonts w:cs="仿宋_GB2312"/>
                <w:color w:val="000000"/>
                <w:sz w:val="20"/>
                <w:szCs w:val="20"/>
              </w:rPr>
            </w:pPr>
            <w:r>
              <w:rPr>
                <w:rFonts w:ascii="Times New Roman" w:hAnsi="Times New Roman" w:cs="仿宋_GB2312"/>
                <w:color w:val="000000"/>
                <w:sz w:val="20"/>
                <w:szCs w:val="20"/>
              </w:rPr>
              <w:t>D</w:t>
            </w:r>
            <w:r>
              <w:rPr>
                <w:rFonts w:hint="eastAsia" w:ascii="Times New Roman" w:hAnsi="Times New Roman" w:cs="仿宋_GB2312"/>
                <w:color w:val="000000"/>
                <w:sz w:val="20"/>
                <w:szCs w:val="20"/>
                <w:lang w:val="en-US" w:eastAsia="zh-CN"/>
              </w:rPr>
              <w:t>4</w:t>
            </w:r>
            <w:r>
              <w:rPr>
                <w:rFonts w:hint="eastAsia" w:cs="仿宋_GB2312"/>
                <w:color w:val="000000"/>
                <w:sz w:val="20"/>
                <w:szCs w:val="20"/>
              </w:rPr>
              <w:t>满意度</w:t>
            </w:r>
          </w:p>
        </w:tc>
        <w:tc>
          <w:tcPr>
            <w:tcW w:w="567" w:type="dxa"/>
            <w:tcBorders>
              <w:left w:val="single" w:color="auto" w:sz="4" w:space="0"/>
              <w:right w:val="single" w:color="auto" w:sz="4" w:space="0"/>
            </w:tcBorders>
            <w:vAlign w:val="center"/>
          </w:tcPr>
          <w:p>
            <w:pPr>
              <w:widowControl w:val="0"/>
              <w:spacing w:line="240" w:lineRule="auto"/>
              <w:jc w:val="center"/>
              <w:textAlignment w:val="center"/>
              <w:rPr>
                <w:rFonts w:hint="eastAsia" w:eastAsia="宋体" w:cs="仿宋_GB2312"/>
                <w:color w:val="000000"/>
                <w:sz w:val="20"/>
                <w:szCs w:val="20"/>
                <w:lang w:eastAsia="zh-CN"/>
              </w:rPr>
            </w:pPr>
            <w:r>
              <w:rPr>
                <w:rFonts w:hint="eastAsia" w:ascii="Times New Roman" w:hAnsi="Times New Roman" w:cs="仿宋_GB2312"/>
                <w:color w:val="000000"/>
                <w:sz w:val="20"/>
                <w:szCs w:val="20"/>
                <w:lang w:val="en-US" w:eastAsia="zh-CN"/>
              </w:rPr>
              <w:t>8</w:t>
            </w:r>
          </w:p>
        </w:tc>
        <w:tc>
          <w:tcPr>
            <w:tcW w:w="283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color w:val="000000"/>
                <w:sz w:val="20"/>
                <w:szCs w:val="20"/>
              </w:rPr>
            </w:pPr>
            <w:r>
              <w:rPr>
                <w:rFonts w:ascii="Times New Roman" w:hAnsi="Times New Roman" w:cs="仿宋"/>
                <w:sz w:val="20"/>
                <w:szCs w:val="20"/>
              </w:rPr>
              <w:t>D</w:t>
            </w:r>
            <w:r>
              <w:rPr>
                <w:rFonts w:hint="eastAsia" w:ascii="Times New Roman" w:hAnsi="Times New Roman" w:cs="仿宋"/>
                <w:sz w:val="20"/>
                <w:szCs w:val="20"/>
                <w:lang w:val="en-US" w:eastAsia="zh-CN"/>
              </w:rPr>
              <w:t>4</w:t>
            </w:r>
            <w:r>
              <w:rPr>
                <w:rFonts w:hint="eastAsia" w:ascii="Times New Roman" w:hAnsi="Times New Roman" w:cs="仿宋"/>
                <w:sz w:val="20"/>
                <w:szCs w:val="20"/>
              </w:rPr>
              <w:t>1</w:t>
            </w:r>
            <w:r>
              <w:rPr>
                <w:rFonts w:hint="eastAsia" w:cs="仿宋"/>
                <w:sz w:val="20"/>
                <w:szCs w:val="20"/>
                <w:lang w:val="en-US" w:eastAsia="zh-CN"/>
              </w:rPr>
              <w:t>贫困人口</w:t>
            </w:r>
            <w:r>
              <w:rPr>
                <w:rFonts w:hint="eastAsia" w:cs="仿宋"/>
                <w:sz w:val="20"/>
                <w:szCs w:val="20"/>
              </w:rPr>
              <w:t>满意度</w:t>
            </w:r>
          </w:p>
        </w:tc>
        <w:tc>
          <w:tcPr>
            <w:tcW w:w="567"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rFonts w:hint="eastAsia" w:eastAsia="宋体" w:cs="仿宋"/>
                <w:sz w:val="20"/>
                <w:szCs w:val="20"/>
                <w:lang w:eastAsia="zh-CN"/>
              </w:rPr>
            </w:pPr>
            <w:r>
              <w:rPr>
                <w:rFonts w:hint="eastAsia" w:ascii="Times New Roman" w:hAnsi="Times New Roman" w:cs="仿宋"/>
                <w:sz w:val="20"/>
                <w:szCs w:val="20"/>
                <w:lang w:val="en-US" w:eastAsia="zh-CN"/>
              </w:rPr>
              <w:t>8</w:t>
            </w: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center"/>
              <w:rPr>
                <w:rFonts w:hint="default" w:ascii="Times New Roman" w:hAnsi="Times New Roman" w:eastAsia="宋体" w:cs="仿宋_GB2312"/>
                <w:color w:val="000000"/>
                <w:sz w:val="20"/>
                <w:szCs w:val="20"/>
                <w:highlight w:val="none"/>
                <w:lang w:val="en-US" w:eastAsia="zh-CN"/>
              </w:rPr>
            </w:pPr>
            <w:r>
              <w:rPr>
                <w:rFonts w:hint="eastAsia" w:ascii="Times New Roman" w:hAnsi="Times New Roman" w:cs="仿宋_GB2312"/>
                <w:color w:val="000000"/>
                <w:sz w:val="20"/>
                <w:szCs w:val="20"/>
                <w:highlight w:val="none"/>
              </w:rPr>
              <w:t>6.</w:t>
            </w:r>
            <w:r>
              <w:rPr>
                <w:rFonts w:hint="eastAsia" w:ascii="Times New Roman" w:hAnsi="Times New Roman" w:cs="仿宋_GB2312"/>
                <w:color w:val="000000"/>
                <w:sz w:val="20"/>
                <w:szCs w:val="20"/>
                <w:highlight w:val="none"/>
                <w:lang w:val="en-US" w:eastAsia="zh-CN"/>
              </w:rPr>
              <w:t>85</w:t>
            </w:r>
          </w:p>
        </w:tc>
        <w:tc>
          <w:tcPr>
            <w:tcW w:w="1028"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center"/>
              <w:rPr>
                <w:rFonts w:hint="default" w:ascii="Times New Roman" w:hAnsi="Times New Roman" w:eastAsia="宋体" w:cs="仿宋_GB2312"/>
                <w:color w:val="000000"/>
                <w:sz w:val="20"/>
                <w:szCs w:val="20"/>
                <w:highlight w:val="none"/>
                <w:lang w:val="en-US" w:eastAsia="zh-CN"/>
              </w:rPr>
            </w:pPr>
            <w:r>
              <w:rPr>
                <w:rFonts w:hint="eastAsia" w:ascii="Times New Roman" w:hAnsi="Times New Roman" w:cs="仿宋_GB2312"/>
                <w:color w:val="000000"/>
                <w:sz w:val="20"/>
                <w:szCs w:val="20"/>
                <w:highlight w:val="none"/>
              </w:rPr>
              <w:t>8</w:t>
            </w:r>
            <w:r>
              <w:rPr>
                <w:rFonts w:hint="eastAsia" w:ascii="Times New Roman" w:hAnsi="Times New Roman" w:cs="仿宋_GB2312"/>
                <w:color w:val="000000"/>
                <w:sz w:val="20"/>
                <w:szCs w:val="20"/>
                <w:highlight w:val="none"/>
                <w:lang w:val="en-US" w:eastAsia="zh-CN"/>
              </w:rPr>
              <w:t>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0"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center"/>
              <w:rPr>
                <w:rFonts w:cs="仿宋_GB2312"/>
                <w:color w:val="000000"/>
                <w:sz w:val="20"/>
                <w:szCs w:val="20"/>
              </w:rPr>
            </w:pPr>
            <w:r>
              <w:rPr>
                <w:rFonts w:hint="eastAsia" w:cs="仿宋_GB2312"/>
                <w:color w:val="000000"/>
                <w:sz w:val="20"/>
                <w:szCs w:val="20"/>
              </w:rPr>
              <w:t>小计</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center"/>
              <w:rPr>
                <w:rFonts w:cs="仿宋_GB2312"/>
                <w:color w:val="000000"/>
                <w:sz w:val="20"/>
                <w:szCs w:val="20"/>
              </w:rPr>
            </w:pPr>
            <w:r>
              <w:rPr>
                <w:rFonts w:hint="eastAsia" w:ascii="Times New Roman" w:hAnsi="Times New Roman" w:cs="仿宋_GB2312"/>
                <w:color w:val="000000"/>
                <w:sz w:val="20"/>
                <w:szCs w:val="20"/>
              </w:rPr>
              <w:t>30</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center"/>
              <w:rPr>
                <w:rFonts w:cs="仿宋_GB2312"/>
                <w:color w:val="000000"/>
                <w:sz w:val="20"/>
                <w:szCs w:val="20"/>
              </w:rPr>
            </w:pPr>
            <w:r>
              <w:rPr>
                <w:rFonts w:hint="eastAsia" w:cs="仿宋_GB2312"/>
                <w:color w:val="000000"/>
                <w:sz w:val="20"/>
                <w:szCs w:val="20"/>
              </w:rPr>
              <w:t>--</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center"/>
              <w:rPr>
                <w:rFonts w:cs="仿宋_GB2312"/>
                <w:color w:val="000000"/>
                <w:sz w:val="20"/>
                <w:szCs w:val="20"/>
              </w:rPr>
            </w:pPr>
            <w:r>
              <w:rPr>
                <w:rFonts w:hint="eastAsia" w:ascii="Times New Roman" w:hAnsi="Times New Roman" w:cs="仿宋_GB2312"/>
                <w:color w:val="000000"/>
                <w:sz w:val="20"/>
                <w:szCs w:val="20"/>
              </w:rPr>
              <w:t>30</w:t>
            </w:r>
          </w:p>
        </w:tc>
        <w:tc>
          <w:tcPr>
            <w:tcW w:w="283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center"/>
              <w:rPr>
                <w:rFonts w:cs="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center"/>
              <w:rPr>
                <w:rFonts w:cs="仿宋_GB2312"/>
                <w:color w:val="000000"/>
                <w:sz w:val="20"/>
                <w:szCs w:val="20"/>
              </w:rPr>
            </w:pPr>
            <w:r>
              <w:rPr>
                <w:rFonts w:hint="eastAsia" w:ascii="Times New Roman" w:hAnsi="Times New Roman" w:cs="仿宋_GB2312"/>
                <w:color w:val="000000"/>
                <w:sz w:val="20"/>
                <w:szCs w:val="20"/>
              </w:rPr>
              <w:t>30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center"/>
              <w:rPr>
                <w:rFonts w:hint="default" w:ascii="Times New Roman" w:hAnsi="Times New Roman" w:eastAsia="宋体" w:cs="仿宋_GB2312"/>
                <w:color w:val="000000"/>
                <w:sz w:val="20"/>
                <w:szCs w:val="20"/>
                <w:highlight w:val="none"/>
                <w:lang w:val="en-US" w:eastAsia="zh-CN"/>
              </w:rPr>
            </w:pPr>
            <w:r>
              <w:rPr>
                <w:rFonts w:hint="eastAsia" w:ascii="Times New Roman" w:hAnsi="Times New Roman" w:cs="仿宋_GB2312"/>
                <w:color w:val="000000"/>
                <w:sz w:val="20"/>
                <w:szCs w:val="20"/>
                <w:highlight w:val="none"/>
                <w:lang w:val="en-US" w:eastAsia="zh-CN"/>
              </w:rPr>
              <w:t>20.85</w:t>
            </w:r>
          </w:p>
        </w:tc>
        <w:tc>
          <w:tcPr>
            <w:tcW w:w="1028"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textAlignment w:val="center"/>
              <w:rPr>
                <w:rFonts w:hint="default" w:ascii="Times New Roman" w:hAnsi="Times New Roman" w:eastAsia="宋体" w:cs="仿宋_GB2312"/>
                <w:color w:val="000000"/>
                <w:sz w:val="20"/>
                <w:szCs w:val="20"/>
                <w:highlight w:val="none"/>
                <w:lang w:val="en-US" w:eastAsia="zh-CN"/>
              </w:rPr>
            </w:pPr>
            <w:r>
              <w:rPr>
                <w:rFonts w:hint="eastAsia" w:ascii="Times New Roman" w:hAnsi="Times New Roman" w:cs="仿宋_GB2312"/>
                <w:color w:val="000000"/>
                <w:sz w:val="20"/>
                <w:szCs w:val="20"/>
                <w:highlight w:val="none"/>
                <w:lang w:val="en-US" w:eastAsia="zh-CN"/>
              </w:rPr>
              <w:t>69.5</w:t>
            </w:r>
          </w:p>
        </w:tc>
      </w:tr>
    </w:tbl>
    <w:p>
      <w:pPr>
        <w:widowControl w:val="0"/>
        <w:spacing w:before="100" w:beforeAutospacing="1"/>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Times New Roman" w:hAnsi="Times New Roman" w:eastAsia="仿宋_GB2312" w:cs="仿宋"/>
          <w:sz w:val="32"/>
          <w:szCs w:val="32"/>
        </w:rPr>
        <w:t>1</w:t>
      </w:r>
      <w:r>
        <w:rPr>
          <w:rFonts w:hint="eastAsia" w:ascii="仿宋_GB2312" w:hAnsi="仿宋" w:eastAsia="仿宋_GB2312" w:cs="仿宋"/>
          <w:sz w:val="32"/>
          <w:szCs w:val="32"/>
        </w:rPr>
        <w:t>）</w:t>
      </w:r>
      <w:r>
        <w:rPr>
          <w:rFonts w:hint="eastAsia" w:ascii="Times New Roman" w:hAnsi="Times New Roman" w:eastAsia="仿宋_GB2312" w:cs="仿宋"/>
          <w:sz w:val="32"/>
          <w:szCs w:val="32"/>
        </w:rPr>
        <w:t>D11</w:t>
      </w:r>
      <w:r>
        <w:rPr>
          <w:rFonts w:hint="eastAsia" w:ascii="仿宋_GB2312" w:hAnsi="仿宋" w:eastAsia="仿宋_GB2312" w:cs="仿宋"/>
          <w:sz w:val="32"/>
          <w:szCs w:val="32"/>
          <w:lang w:val="en-US" w:eastAsia="zh-CN"/>
        </w:rPr>
        <w:t>带动地方经济发展</w:t>
      </w:r>
      <w:r>
        <w:rPr>
          <w:rFonts w:hint="eastAsia" w:ascii="仿宋_GB2312" w:hAnsi="仿宋" w:eastAsia="仿宋_GB2312" w:cs="仿宋"/>
          <w:sz w:val="32"/>
          <w:szCs w:val="32"/>
        </w:rPr>
        <w:t>（</w:t>
      </w:r>
      <w:r>
        <w:rPr>
          <w:rFonts w:hint="eastAsia" w:ascii="Times New Roman" w:hAnsi="Times New Roman" w:eastAsia="仿宋_GB2312" w:cs="仿宋"/>
          <w:sz w:val="32"/>
          <w:szCs w:val="32"/>
          <w:lang w:val="en-US" w:eastAsia="zh-CN"/>
        </w:rPr>
        <w:t>5</w:t>
      </w:r>
      <w:r>
        <w:rPr>
          <w:rFonts w:hint="eastAsia" w:ascii="仿宋_GB2312" w:hAnsi="仿宋" w:eastAsia="仿宋_GB2312" w:cs="仿宋"/>
          <w:sz w:val="32"/>
          <w:szCs w:val="32"/>
        </w:rPr>
        <w:t>分）。</w:t>
      </w:r>
      <w:r>
        <w:rPr>
          <w:rFonts w:hint="eastAsia" w:ascii="仿宋_GB2312" w:hAnsi="仿宋_GB2312" w:eastAsia="仿宋_GB2312" w:cs="仿宋_GB2312"/>
          <w:sz w:val="32"/>
          <w:szCs w:val="32"/>
        </w:rPr>
        <w:t>本指标主要</w:t>
      </w:r>
      <w:r>
        <w:rPr>
          <w:rFonts w:hint="eastAsia" w:ascii="仿宋_GB2312" w:hAnsi="仿宋_GB2312" w:eastAsia="仿宋_GB2312" w:cs="仿宋_GB2312"/>
          <w:sz w:val="32"/>
          <w:szCs w:val="32"/>
          <w:lang w:val="en-US" w:eastAsia="zh-CN"/>
        </w:rPr>
        <w:t>考察项目</w:t>
      </w:r>
      <w:r>
        <w:rPr>
          <w:rFonts w:hint="eastAsia" w:ascii="仿宋_GB2312" w:hAnsi="仿宋_GB2312" w:eastAsia="仿宋_GB2312" w:cs="仿宋_GB2312"/>
          <w:sz w:val="32"/>
          <w:szCs w:val="32"/>
        </w:rPr>
        <w:t>实施后</w:t>
      </w:r>
      <w:r>
        <w:rPr>
          <w:rFonts w:hint="eastAsia" w:ascii="仿宋_GB2312" w:hAnsi="仿宋_GB2312" w:eastAsia="仿宋_GB2312" w:cs="仿宋_GB2312"/>
          <w:sz w:val="32"/>
          <w:szCs w:val="32"/>
          <w:lang w:val="en-US" w:eastAsia="zh-CN"/>
        </w:rPr>
        <w:t>是否对地方经济发展有积极作用</w:t>
      </w:r>
      <w:r>
        <w:rPr>
          <w:rFonts w:hint="eastAsia" w:ascii="仿宋_GB2312" w:hAnsi="仿宋_GB2312" w:eastAsia="仿宋_GB2312" w:cs="仿宋_GB2312"/>
          <w:sz w:val="32"/>
          <w:szCs w:val="32"/>
        </w:rPr>
        <w:t>，用以反映和考核总体经济效益目标完成情况。</w:t>
      </w:r>
    </w:p>
    <w:p>
      <w:pPr>
        <w:widowControl w:val="0"/>
        <w:ind w:firstLine="640" w:firstLineChars="200"/>
        <w:rPr>
          <w:rFonts w:ascii="仿宋_GB2312" w:hAnsi="仿宋" w:eastAsia="仿宋_GB2312" w:cs="仿宋"/>
          <w:sz w:val="32"/>
          <w:szCs w:val="32"/>
        </w:rPr>
      </w:pPr>
      <w:r>
        <w:rPr>
          <w:rFonts w:hint="eastAsia" w:ascii="仿宋_GB2312" w:hAnsi="仿宋_GB2312" w:eastAsia="仿宋_GB2312" w:cs="仿宋_GB2312"/>
          <w:sz w:val="32"/>
          <w:szCs w:val="32"/>
        </w:rPr>
        <w:t>评价组通过对项目实施单位提供的资料进行整理和分析，结合现场核实情况。</w:t>
      </w:r>
      <w:r>
        <w:rPr>
          <w:rFonts w:hint="eastAsia" w:ascii="仿宋_GB2312" w:hAnsi="仿宋_GB2312" w:eastAsia="仿宋_GB2312" w:cs="仿宋_GB2312"/>
          <w:sz w:val="32"/>
          <w:szCs w:val="32"/>
          <w:lang w:val="en-US" w:eastAsia="zh-CN"/>
        </w:rPr>
        <w:t>项目实施后，当地居民出行时间有了显著缩短，有效的降低了当地居民出行的时间成本和经济成本，但由于具体数量不清晰，无法准确评价节约的成本。</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根据设置的指标体系中确定的评分标准和评分办法，</w:t>
      </w:r>
      <w:r>
        <w:rPr>
          <w:rFonts w:hint="eastAsia" w:ascii="仿宋_GB2312" w:hAnsi="仿宋" w:eastAsia="仿宋_GB2312" w:cs="仿宋_GB2312"/>
          <w:sz w:val="32"/>
          <w:szCs w:val="32"/>
        </w:rPr>
        <w:t>该项指标扣</w:t>
      </w:r>
      <w:r>
        <w:rPr>
          <w:rFonts w:hint="eastAsia" w:ascii="Times New Roman" w:hAnsi="Times New Roman" w:eastAsia="仿宋_GB2312" w:cs="仿宋_GB2312"/>
          <w:sz w:val="32"/>
          <w:szCs w:val="32"/>
        </w:rPr>
        <w:t>2</w:t>
      </w:r>
      <w:r>
        <w:rPr>
          <w:rFonts w:hint="eastAsia" w:ascii="仿宋_GB2312" w:hAnsi="仿宋" w:eastAsia="仿宋_GB2312" w:cs="仿宋_GB2312"/>
          <w:sz w:val="32"/>
          <w:szCs w:val="32"/>
        </w:rPr>
        <w:t>分，共得分</w:t>
      </w:r>
      <w:r>
        <w:rPr>
          <w:rFonts w:hint="eastAsia" w:ascii="Times New Roman" w:hAnsi="Times New Roman" w:eastAsia="仿宋_GB2312" w:cs="仿宋_GB2312"/>
          <w:sz w:val="32"/>
          <w:szCs w:val="32"/>
          <w:lang w:val="en-US" w:eastAsia="zh-CN"/>
        </w:rPr>
        <w:t>3</w:t>
      </w:r>
      <w:r>
        <w:rPr>
          <w:rFonts w:hint="eastAsia" w:ascii="仿宋_GB2312" w:hAnsi="仿宋" w:eastAsia="仿宋_GB2312" w:cs="仿宋_GB2312"/>
          <w:sz w:val="32"/>
          <w:szCs w:val="32"/>
        </w:rPr>
        <w:t>分，得分率为</w:t>
      </w:r>
      <w:r>
        <w:rPr>
          <w:rFonts w:hint="eastAsia" w:ascii="Times New Roman" w:hAnsi="Times New Roman" w:eastAsia="仿宋_GB2312" w:cs="仿宋_GB2312"/>
          <w:sz w:val="32"/>
          <w:szCs w:val="32"/>
          <w:lang w:val="en-US" w:eastAsia="zh-CN"/>
        </w:rPr>
        <w:t>6</w:t>
      </w:r>
      <w:r>
        <w:rPr>
          <w:rFonts w:hint="eastAsia" w:ascii="Times New Roman" w:hAnsi="Times New Roman" w:eastAsia="仿宋_GB2312" w:cs="仿宋_GB2312"/>
          <w:sz w:val="32"/>
          <w:szCs w:val="32"/>
        </w:rPr>
        <w:t>0</w:t>
      </w:r>
      <w:r>
        <w:rPr>
          <w:rFonts w:hint="eastAsia" w:ascii="仿宋_GB2312" w:hAnsi="仿宋" w:eastAsia="仿宋_GB2312" w:cs="仿宋_GB2312"/>
          <w:sz w:val="32"/>
          <w:szCs w:val="32"/>
        </w:rPr>
        <w:t>%。</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w:t>
      </w:r>
      <w:r>
        <w:rPr>
          <w:rFonts w:hint="eastAsia" w:ascii="Times New Roman" w:hAnsi="Times New Roman" w:eastAsia="仿宋_GB2312" w:cs="仿宋"/>
          <w:sz w:val="32"/>
          <w:szCs w:val="32"/>
        </w:rPr>
        <w:t>D</w:t>
      </w:r>
      <w:r>
        <w:rPr>
          <w:rFonts w:hint="eastAsia" w:ascii="Times New Roman" w:hAnsi="Times New Roman" w:eastAsia="仿宋_GB2312" w:cs="仿宋"/>
          <w:sz w:val="32"/>
          <w:szCs w:val="32"/>
          <w:lang w:val="en-US" w:eastAsia="zh-CN"/>
        </w:rPr>
        <w:t>21</w:t>
      </w:r>
      <w:r>
        <w:rPr>
          <w:rFonts w:hint="eastAsia" w:ascii="仿宋_GB2312" w:hAnsi="仿宋_GB2312" w:eastAsia="仿宋_GB2312" w:cs="仿宋_GB2312"/>
          <w:sz w:val="32"/>
          <w:szCs w:val="32"/>
          <w:lang w:val="en-US" w:eastAsia="zh-CN"/>
        </w:rPr>
        <w:t>解决村民出行难题</w:t>
      </w:r>
      <w:r>
        <w:rPr>
          <w:rFonts w:hint="eastAsia" w:ascii="仿宋_GB2312" w:hAnsi="仿宋_GB2312" w:eastAsia="仿宋_GB2312" w:cs="仿宋_GB2312"/>
          <w:sz w:val="32"/>
          <w:szCs w:val="32"/>
        </w:rPr>
        <w:t>（</w:t>
      </w:r>
      <w:r>
        <w:rPr>
          <w:rFonts w:ascii="Times New Roman" w:hAnsi="Times New Roman" w:eastAsia="仿宋_GB2312" w:cs="仿宋_GB2312"/>
          <w:sz w:val="32"/>
          <w:szCs w:val="32"/>
        </w:rPr>
        <w:t>4</w:t>
      </w:r>
      <w:r>
        <w:rPr>
          <w:rFonts w:hint="eastAsia" w:ascii="仿宋_GB2312" w:hAnsi="仿宋_GB2312" w:eastAsia="仿宋_GB2312" w:cs="仿宋_GB2312"/>
          <w:sz w:val="32"/>
          <w:szCs w:val="32"/>
        </w:rPr>
        <w:t>分）。本指标主要用来考察项目实施</w:t>
      </w:r>
      <w:r>
        <w:rPr>
          <w:rFonts w:hint="eastAsia" w:ascii="仿宋_GB2312" w:hAnsi="仿宋_GB2312" w:eastAsia="仿宋_GB2312" w:cs="仿宋_GB2312"/>
          <w:sz w:val="32"/>
          <w:szCs w:val="32"/>
          <w:lang w:val="en-US" w:eastAsia="zh-CN"/>
        </w:rPr>
        <w:t>后是否充分解决村民的出行问题，</w:t>
      </w:r>
      <w:r>
        <w:rPr>
          <w:rFonts w:hint="eastAsia" w:ascii="仿宋_GB2312" w:hAnsi="仿宋_GB2312" w:eastAsia="仿宋_GB2312" w:cs="仿宋_GB2312"/>
          <w:sz w:val="32"/>
          <w:szCs w:val="32"/>
        </w:rPr>
        <w:t>用以反映和考核总体</w:t>
      </w:r>
      <w:r>
        <w:rPr>
          <w:rFonts w:hint="eastAsia" w:ascii="仿宋_GB2312" w:hAnsi="仿宋_GB2312" w:eastAsia="仿宋_GB2312" w:cs="仿宋_GB2312"/>
          <w:sz w:val="32"/>
          <w:szCs w:val="32"/>
          <w:lang w:val="en-US" w:eastAsia="zh-CN"/>
        </w:rPr>
        <w:t>社会</w:t>
      </w:r>
      <w:r>
        <w:rPr>
          <w:rFonts w:hint="eastAsia" w:ascii="仿宋_GB2312" w:hAnsi="仿宋_GB2312" w:eastAsia="仿宋_GB2312" w:cs="仿宋_GB2312"/>
          <w:sz w:val="32"/>
          <w:szCs w:val="32"/>
        </w:rPr>
        <w:t>效益目标完成情况。</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评价组通过对项目实施单位提供的资料进行整理和分析，结合现场核实情况。</w:t>
      </w:r>
      <w:r>
        <w:rPr>
          <w:rFonts w:hint="eastAsia" w:ascii="仿宋" w:hAnsi="仿宋" w:eastAsia="仿宋_GB2312"/>
          <w:sz w:val="32"/>
          <w:szCs w:val="32"/>
        </w:rPr>
        <w:t>平陆县</w:t>
      </w:r>
      <w:r>
        <w:rPr>
          <w:rFonts w:hint="eastAsia" w:ascii="仿宋_GB2312" w:hAnsi="仿宋" w:eastAsia="仿宋_GB2312" w:cs="仿宋"/>
          <w:sz w:val="32"/>
          <w:szCs w:val="32"/>
          <w:lang w:val="en-US" w:eastAsia="zh-CN"/>
        </w:rPr>
        <w:t>圣人涧镇营村村一组至二组道路建设工程</w:t>
      </w:r>
      <w:r>
        <w:rPr>
          <w:rFonts w:hint="eastAsia" w:ascii="仿宋_GB2312" w:hAnsi="仿宋" w:eastAsia="仿宋_GB2312" w:cs="仿宋"/>
          <w:sz w:val="32"/>
          <w:szCs w:val="32"/>
        </w:rPr>
        <w:t>项目</w:t>
      </w:r>
      <w:r>
        <w:rPr>
          <w:rFonts w:hint="eastAsia" w:ascii="仿宋_GB2312" w:hAnsi="仿宋_GB2312" w:eastAsia="仿宋_GB2312" w:cs="仿宋_GB2312"/>
          <w:sz w:val="32"/>
          <w:szCs w:val="32"/>
        </w:rPr>
        <w:t>建设完成后，</w:t>
      </w:r>
      <w:r>
        <w:rPr>
          <w:rFonts w:hint="eastAsia" w:ascii="仿宋_GB2312" w:hAnsi="仿宋_GB2312" w:eastAsia="仿宋_GB2312" w:cs="仿宋_GB2312"/>
          <w:sz w:val="32"/>
          <w:szCs w:val="32"/>
          <w:lang w:val="en-US" w:eastAsia="zh-CN"/>
        </w:rPr>
        <w:t>解决了</w:t>
      </w:r>
      <w:r>
        <w:rPr>
          <w:rFonts w:hint="eastAsia" w:ascii="Times New Roman" w:hAnsi="Times New Roman" w:eastAsia="仿宋_GB2312" w:cs="仿宋_GB2312"/>
          <w:sz w:val="32"/>
          <w:szCs w:val="32"/>
          <w:lang w:val="en-US" w:eastAsia="zh-CN"/>
        </w:rPr>
        <w:t>200</w:t>
      </w:r>
      <w:r>
        <w:rPr>
          <w:rFonts w:hint="eastAsia" w:ascii="仿宋_GB2312" w:hAnsi="仿宋_GB2312" w:eastAsia="仿宋_GB2312" w:cs="仿宋_GB2312"/>
          <w:sz w:val="32"/>
          <w:szCs w:val="32"/>
          <w:lang w:val="en-US" w:eastAsia="zh-CN"/>
        </w:rPr>
        <w:t>余村民出行难的问题，缩短了人们的出行时间。</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根据设置的指标体系中确定的评分标准和评分办法，</w:t>
      </w:r>
      <w:r>
        <w:rPr>
          <w:rFonts w:hint="eastAsia" w:ascii="仿宋_GB2312" w:hAnsi="仿宋" w:eastAsia="仿宋_GB2312" w:cs="仿宋_GB2312"/>
          <w:sz w:val="32"/>
          <w:szCs w:val="32"/>
        </w:rPr>
        <w:t>该项指标不扣分，得</w:t>
      </w:r>
      <w:r>
        <w:rPr>
          <w:rFonts w:hint="eastAsia" w:ascii="Times New Roman" w:hAnsi="Times New Roman" w:eastAsia="仿宋_GB2312" w:cs="仿宋_GB2312"/>
          <w:sz w:val="32"/>
          <w:szCs w:val="32"/>
        </w:rPr>
        <w:t>4</w:t>
      </w:r>
      <w:r>
        <w:rPr>
          <w:rFonts w:hint="eastAsia" w:ascii="仿宋_GB2312" w:hAnsi="仿宋" w:eastAsia="仿宋_GB2312" w:cs="仿宋_GB2312"/>
          <w:sz w:val="32"/>
          <w:szCs w:val="32"/>
        </w:rPr>
        <w:t>分，得分率为</w:t>
      </w:r>
      <w:r>
        <w:rPr>
          <w:rFonts w:hint="eastAsia" w:ascii="Times New Roman" w:hAnsi="Times New Roman" w:eastAsia="仿宋_GB2312" w:cs="仿宋_GB2312"/>
          <w:sz w:val="32"/>
          <w:szCs w:val="32"/>
        </w:rPr>
        <w:t>100</w:t>
      </w:r>
      <w:r>
        <w:rPr>
          <w:rFonts w:hint="eastAsia" w:ascii="仿宋_GB2312" w:hAnsi="仿宋" w:eastAsia="仿宋_GB2312" w:cs="仿宋_GB2312"/>
          <w:sz w:val="32"/>
          <w:szCs w:val="32"/>
        </w:rPr>
        <w:t>%。</w:t>
      </w:r>
    </w:p>
    <w:p>
      <w:pPr>
        <w:widowControl w:val="0"/>
        <w:ind w:firstLine="640" w:firstLineChars="200"/>
        <w:rPr>
          <w:rFonts w:ascii="仿宋_GB2312" w:hAnsi="仿宋_GB2312" w:eastAsia="仿宋_GB2312" w:cs="仿宋_GB2312"/>
          <w:sz w:val="32"/>
          <w:szCs w:val="32"/>
        </w:rPr>
      </w:pPr>
      <w:r>
        <w:rPr>
          <w:rFonts w:hint="eastAsia" w:ascii="仿宋_GB2312" w:hAnsi="仿宋" w:eastAsia="仿宋_GB2312" w:cs="仿宋"/>
          <w:sz w:val="32"/>
          <w:szCs w:val="32"/>
        </w:rPr>
        <w:t>（</w:t>
      </w:r>
      <w:r>
        <w:rPr>
          <w:rFonts w:hint="eastAsia" w:ascii="Times New Roman" w:hAnsi="Times New Roman" w:eastAsia="仿宋_GB2312" w:cs="仿宋"/>
          <w:sz w:val="32"/>
          <w:szCs w:val="32"/>
        </w:rPr>
        <w:t>3</w:t>
      </w:r>
      <w:r>
        <w:rPr>
          <w:rFonts w:hint="eastAsia" w:ascii="仿宋_GB2312" w:hAnsi="仿宋" w:eastAsia="仿宋_GB2312" w:cs="仿宋"/>
          <w:sz w:val="32"/>
          <w:szCs w:val="32"/>
        </w:rPr>
        <w:t>）</w:t>
      </w:r>
      <w:r>
        <w:rPr>
          <w:rFonts w:hint="eastAsia" w:ascii="Times New Roman" w:hAnsi="Times New Roman" w:eastAsia="仿宋_GB2312" w:cs="仿宋"/>
          <w:sz w:val="32"/>
          <w:szCs w:val="32"/>
        </w:rPr>
        <w:t>D2</w:t>
      </w:r>
      <w:r>
        <w:rPr>
          <w:rFonts w:hint="eastAsia" w:ascii="Times New Roman" w:hAnsi="Times New Roman" w:eastAsia="仿宋_GB2312" w:cs="仿宋"/>
          <w:sz w:val="32"/>
          <w:szCs w:val="32"/>
          <w:lang w:val="en-US" w:eastAsia="zh-CN"/>
        </w:rPr>
        <w:t>2</w:t>
      </w:r>
      <w:r>
        <w:rPr>
          <w:rFonts w:hint="eastAsia" w:ascii="仿宋_GB2312" w:hAnsi="仿宋" w:eastAsia="仿宋_GB2312" w:cs="仿宋"/>
          <w:sz w:val="32"/>
          <w:szCs w:val="32"/>
        </w:rPr>
        <w:t>改善农民生产生活条件（</w:t>
      </w:r>
      <w:r>
        <w:rPr>
          <w:rFonts w:hint="eastAsia" w:ascii="Times New Roman" w:hAnsi="Times New Roman" w:eastAsia="仿宋_GB2312" w:cs="仿宋"/>
          <w:sz w:val="32"/>
          <w:szCs w:val="32"/>
          <w:lang w:val="en-US" w:eastAsia="zh-CN"/>
        </w:rPr>
        <w:t>4</w:t>
      </w:r>
      <w:r>
        <w:rPr>
          <w:rFonts w:hint="eastAsia" w:ascii="仿宋_GB2312" w:hAnsi="仿宋" w:eastAsia="仿宋_GB2312" w:cs="仿宋"/>
          <w:sz w:val="32"/>
          <w:szCs w:val="32"/>
        </w:rPr>
        <w:t>分）。</w:t>
      </w:r>
      <w:r>
        <w:rPr>
          <w:rFonts w:hint="eastAsia" w:ascii="仿宋_GB2312" w:hAnsi="仿宋_GB2312" w:eastAsia="仿宋_GB2312" w:cs="仿宋_GB2312"/>
          <w:sz w:val="32"/>
          <w:szCs w:val="32"/>
        </w:rPr>
        <w:t xml:space="preserve">本指标主要用来考察和评价项目建设完成后是否有效利用已建设施，改善农民生产生活条件。 </w:t>
      </w:r>
    </w:p>
    <w:p>
      <w:pPr>
        <w:widowControl w:val="0"/>
        <w:ind w:firstLine="640" w:firstLineChars="200"/>
        <w:rPr>
          <w:rFonts w:ascii="仿宋_GB2312" w:hAnsi="仿宋" w:eastAsia="仿宋_GB2312" w:cs="仿宋"/>
          <w:sz w:val="32"/>
          <w:szCs w:val="32"/>
        </w:rPr>
      </w:pPr>
      <w:r>
        <w:rPr>
          <w:rFonts w:hint="eastAsia" w:ascii="仿宋_GB2312" w:hAnsi="仿宋_GB2312" w:eastAsia="仿宋_GB2312" w:cs="仿宋_GB2312"/>
          <w:sz w:val="32"/>
          <w:szCs w:val="32"/>
        </w:rPr>
        <w:t>评价组通过对项目实施单位提供的资料进行整理和分析，结合现场核实情况。</w:t>
      </w:r>
      <w:r>
        <w:rPr>
          <w:rFonts w:hint="eastAsia" w:ascii="仿宋" w:hAnsi="仿宋" w:eastAsia="仿宋_GB2312"/>
          <w:sz w:val="32"/>
          <w:szCs w:val="32"/>
        </w:rPr>
        <w:t>平陆县</w:t>
      </w:r>
      <w:r>
        <w:rPr>
          <w:rFonts w:hint="eastAsia" w:ascii="仿宋_GB2312" w:hAnsi="仿宋" w:eastAsia="仿宋_GB2312" w:cs="仿宋"/>
          <w:sz w:val="32"/>
          <w:szCs w:val="32"/>
          <w:lang w:val="en-US" w:eastAsia="zh-CN"/>
        </w:rPr>
        <w:t>圣人涧镇营村村一组至二组道路建设工程</w:t>
      </w:r>
      <w:r>
        <w:rPr>
          <w:rFonts w:hint="eastAsia" w:ascii="仿宋_GB2312" w:hAnsi="仿宋" w:eastAsia="仿宋_GB2312" w:cs="仿宋"/>
          <w:sz w:val="32"/>
          <w:szCs w:val="32"/>
        </w:rPr>
        <w:t>项目</w:t>
      </w:r>
      <w:r>
        <w:rPr>
          <w:rFonts w:hint="eastAsia" w:ascii="仿宋_GB2312" w:hAnsi="仿宋_GB2312" w:eastAsia="仿宋_GB2312" w:cs="仿宋_GB2312"/>
          <w:sz w:val="32"/>
          <w:szCs w:val="32"/>
        </w:rPr>
        <w:t>建设完成后，</w:t>
      </w:r>
      <w:r>
        <w:rPr>
          <w:rFonts w:hint="eastAsia" w:ascii="仿宋_GB2312" w:hAnsi="仿宋_GB2312" w:eastAsia="仿宋_GB2312" w:cs="仿宋_GB2312"/>
          <w:sz w:val="32"/>
          <w:szCs w:val="32"/>
          <w:lang w:val="en-US" w:eastAsia="zh-CN"/>
        </w:rPr>
        <w:t>一定程度改善了</w:t>
      </w:r>
      <w:r>
        <w:rPr>
          <w:rFonts w:hint="eastAsia" w:ascii="仿宋_GB2312" w:hAnsi="仿宋_GB2312" w:eastAsia="仿宋_GB2312" w:cs="仿宋_GB2312"/>
          <w:sz w:val="32"/>
          <w:szCs w:val="32"/>
        </w:rPr>
        <w:t>农民生产生活条件。</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根据设置的指标体系中确定的评分标准和评分办法，</w:t>
      </w:r>
      <w:r>
        <w:rPr>
          <w:rFonts w:hint="eastAsia" w:ascii="仿宋_GB2312" w:hAnsi="仿宋" w:eastAsia="仿宋_GB2312" w:cs="仿宋_GB2312"/>
          <w:sz w:val="32"/>
          <w:szCs w:val="32"/>
        </w:rPr>
        <w:t>该项指标扣</w:t>
      </w:r>
      <w:r>
        <w:rPr>
          <w:rFonts w:hint="eastAsia" w:ascii="Times New Roman" w:hAnsi="Times New Roman" w:eastAsia="仿宋_GB2312" w:cs="仿宋_GB2312"/>
          <w:sz w:val="32"/>
          <w:szCs w:val="32"/>
          <w:lang w:val="en-US" w:eastAsia="zh-CN"/>
        </w:rPr>
        <w:t>1</w:t>
      </w:r>
      <w:r>
        <w:rPr>
          <w:rFonts w:hint="eastAsia" w:ascii="仿宋_GB2312" w:hAnsi="仿宋" w:eastAsia="仿宋_GB2312" w:cs="仿宋_GB2312"/>
          <w:sz w:val="32"/>
          <w:szCs w:val="32"/>
        </w:rPr>
        <w:t>分，共得分</w:t>
      </w:r>
      <w:r>
        <w:rPr>
          <w:rFonts w:hint="eastAsia" w:ascii="Times New Roman" w:hAnsi="Times New Roman" w:eastAsia="仿宋_GB2312" w:cs="仿宋_GB2312"/>
          <w:sz w:val="32"/>
          <w:szCs w:val="32"/>
          <w:lang w:val="en-US" w:eastAsia="zh-CN"/>
        </w:rPr>
        <w:t>3</w:t>
      </w:r>
      <w:r>
        <w:rPr>
          <w:rFonts w:hint="eastAsia" w:ascii="仿宋_GB2312" w:hAnsi="仿宋" w:eastAsia="仿宋_GB2312" w:cs="仿宋_GB2312"/>
          <w:sz w:val="32"/>
          <w:szCs w:val="32"/>
        </w:rPr>
        <w:t>分，得分率为</w:t>
      </w:r>
      <w:r>
        <w:rPr>
          <w:rFonts w:hint="eastAsia" w:ascii="Times New Roman" w:hAnsi="Times New Roman" w:eastAsia="仿宋_GB2312" w:cs="仿宋_GB2312"/>
          <w:sz w:val="32"/>
          <w:szCs w:val="32"/>
          <w:lang w:val="en-US" w:eastAsia="zh-CN"/>
        </w:rPr>
        <w:t>75</w:t>
      </w:r>
      <w:r>
        <w:rPr>
          <w:rFonts w:hint="eastAsia" w:ascii="仿宋_GB2312" w:hAnsi="仿宋" w:eastAsia="仿宋_GB2312" w:cs="仿宋_GB2312"/>
          <w:sz w:val="32"/>
          <w:szCs w:val="32"/>
        </w:rPr>
        <w:t>%。</w:t>
      </w:r>
    </w:p>
    <w:p>
      <w:pPr>
        <w:widowControl w:val="0"/>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Times New Roman" w:hAnsi="Times New Roman" w:eastAsia="仿宋_GB2312" w:cs="仿宋"/>
          <w:sz w:val="32"/>
          <w:szCs w:val="32"/>
        </w:rPr>
        <w:t>D</w:t>
      </w:r>
      <w:r>
        <w:rPr>
          <w:rFonts w:hint="eastAsia" w:ascii="Times New Roman" w:hAnsi="Times New Roman" w:eastAsia="仿宋_GB2312" w:cs="仿宋"/>
          <w:sz w:val="32"/>
          <w:szCs w:val="32"/>
          <w:lang w:val="en-US" w:eastAsia="zh-CN"/>
        </w:rPr>
        <w:t>31</w:t>
      </w:r>
      <w:r>
        <w:rPr>
          <w:rFonts w:hint="eastAsia" w:ascii="仿宋_GB2312" w:hAnsi="仿宋" w:eastAsia="仿宋_GB2312" w:cs="仿宋"/>
          <w:sz w:val="32"/>
          <w:szCs w:val="32"/>
          <w:lang w:val="en-US" w:eastAsia="zh-CN"/>
        </w:rPr>
        <w:t>工程设计使用年限</w:t>
      </w:r>
      <w:r>
        <w:rPr>
          <w:rFonts w:hint="eastAsia" w:ascii="仿宋_GB2312" w:hAnsi="仿宋" w:eastAsia="仿宋_GB2312" w:cs="仿宋"/>
          <w:sz w:val="32"/>
          <w:szCs w:val="32"/>
        </w:rPr>
        <w:t>（</w:t>
      </w:r>
      <w:r>
        <w:rPr>
          <w:rFonts w:hint="eastAsia" w:ascii="Times New Roman" w:hAnsi="Times New Roman" w:eastAsia="仿宋_GB2312" w:cs="仿宋"/>
          <w:sz w:val="32"/>
          <w:szCs w:val="32"/>
          <w:lang w:val="en-US" w:eastAsia="zh-CN"/>
        </w:rPr>
        <w:t>4</w:t>
      </w:r>
      <w:r>
        <w:rPr>
          <w:rFonts w:hint="eastAsia" w:ascii="仿宋_GB2312" w:hAnsi="仿宋" w:eastAsia="仿宋_GB2312" w:cs="仿宋"/>
          <w:sz w:val="32"/>
          <w:szCs w:val="32"/>
        </w:rPr>
        <w:t>分）。</w:t>
      </w:r>
      <w:r>
        <w:rPr>
          <w:rFonts w:hint="eastAsia" w:ascii="仿宋_GB2312" w:hAnsi="仿宋_GB2312" w:eastAsia="仿宋_GB2312" w:cs="仿宋_GB2312"/>
          <w:sz w:val="32"/>
          <w:szCs w:val="32"/>
        </w:rPr>
        <w:t>本指标主要用来考察和评价项目建设完成后</w:t>
      </w:r>
      <w:r>
        <w:rPr>
          <w:rFonts w:hint="eastAsia" w:ascii="仿宋_GB2312" w:hAnsi="仿宋_GB2312" w:eastAsia="仿宋_GB2312" w:cs="仿宋_GB2312"/>
          <w:sz w:val="32"/>
          <w:szCs w:val="32"/>
          <w:lang w:val="en-US" w:eastAsia="zh-CN"/>
        </w:rPr>
        <w:t>工程设计使用年限</w:t>
      </w:r>
      <w:r>
        <w:rPr>
          <w:rFonts w:hint="eastAsia" w:ascii="仿宋_GB2312" w:hAnsi="仿宋_GB2312" w:eastAsia="仿宋_GB2312" w:cs="仿宋_GB2312"/>
          <w:sz w:val="32"/>
          <w:szCs w:val="32"/>
        </w:rPr>
        <w:t>是否</w:t>
      </w:r>
      <w:r>
        <w:rPr>
          <w:rFonts w:hint="eastAsia" w:ascii="仿宋_GB2312" w:hAnsi="仿宋_GB2312" w:eastAsia="仿宋_GB2312" w:cs="仿宋_GB2312"/>
          <w:sz w:val="32"/>
          <w:szCs w:val="32"/>
          <w:lang w:val="en-US" w:eastAsia="zh-CN"/>
        </w:rPr>
        <w:t>达到绩效目标值，用以反映和考核项目产生的可持续影响。</w:t>
      </w:r>
    </w:p>
    <w:p>
      <w:pPr>
        <w:widowControl w:val="0"/>
        <w:ind w:firstLine="640" w:firstLineChars="200"/>
        <w:rPr>
          <w:rFonts w:hint="eastAsia" w:ascii="仿宋_GB2312" w:hAnsi="仿宋" w:eastAsia="仿宋_GB2312"/>
          <w:sz w:val="32"/>
          <w:szCs w:val="32"/>
          <w:lang w:val="en-US" w:eastAsia="zh-CN"/>
        </w:rPr>
      </w:pPr>
      <w:r>
        <w:rPr>
          <w:rFonts w:hint="eastAsia" w:ascii="仿宋_GB2312" w:hAnsi="仿宋_GB2312" w:eastAsia="仿宋_GB2312" w:cs="仿宋_GB2312"/>
          <w:sz w:val="32"/>
          <w:szCs w:val="32"/>
        </w:rPr>
        <w:t>评价组通过对项目实施单位提供的资料进行整理和分析。</w:t>
      </w:r>
      <w:r>
        <w:rPr>
          <w:rFonts w:hint="eastAsia" w:ascii="仿宋_GB2312" w:hAnsi="仿宋_GB2312" w:eastAsia="仿宋_GB2312" w:cs="仿宋_GB2312"/>
          <w:sz w:val="32"/>
          <w:szCs w:val="32"/>
          <w:lang w:val="en-US" w:eastAsia="zh-CN"/>
        </w:rPr>
        <w:t>了解到工程设计使用年限绩效目标值为大于等于25年，</w:t>
      </w:r>
      <w:r>
        <w:rPr>
          <w:rFonts w:hint="eastAsia" w:ascii="仿宋_GB2312" w:hAnsi="仿宋" w:eastAsia="仿宋_GB2312"/>
          <w:sz w:val="32"/>
          <w:szCs w:val="32"/>
        </w:rPr>
        <w:t>项目建设完成后</w:t>
      </w:r>
      <w:r>
        <w:rPr>
          <w:rFonts w:hint="eastAsia" w:ascii="仿宋_GB2312" w:hAnsi="仿宋" w:eastAsia="仿宋_GB2312"/>
          <w:sz w:val="32"/>
          <w:szCs w:val="32"/>
          <w:lang w:val="en-US" w:eastAsia="zh-CN"/>
        </w:rPr>
        <w:t>工程质量合格，但验收报告和竣工验收证明书均未对工程设计使用年限有具体的说明，评价组无法对其可持续影响进行有效考核。</w:t>
      </w:r>
    </w:p>
    <w:p>
      <w:pPr>
        <w:widowControl w:val="0"/>
        <w:ind w:firstLine="640" w:firstLineChars="200"/>
        <w:rPr>
          <w:rFonts w:ascii="仿宋_GB2312" w:hAnsi="仿宋" w:eastAsia="仿宋_GB2312" w:cs="仿宋_GB2312"/>
          <w:sz w:val="32"/>
          <w:szCs w:val="32"/>
        </w:rPr>
      </w:pPr>
      <w:r>
        <w:rPr>
          <w:rFonts w:hint="eastAsia" w:ascii="仿宋_GB2312" w:hAnsi="仿宋" w:eastAsia="仿宋_GB2312" w:cs="仿宋"/>
          <w:sz w:val="32"/>
          <w:szCs w:val="32"/>
        </w:rPr>
        <w:t>根据设置的指标体系中确定的评分标准和评分办法，</w:t>
      </w:r>
      <w:r>
        <w:rPr>
          <w:rFonts w:hint="eastAsia" w:ascii="仿宋_GB2312" w:hAnsi="仿宋" w:eastAsia="仿宋_GB2312" w:cs="仿宋_GB2312"/>
          <w:sz w:val="32"/>
          <w:szCs w:val="32"/>
        </w:rPr>
        <w:t>该项指标扣</w:t>
      </w:r>
      <w:r>
        <w:rPr>
          <w:rFonts w:hint="eastAsia" w:ascii="Times New Roman" w:hAnsi="Times New Roman" w:eastAsia="仿宋_GB2312" w:cs="仿宋_GB2312"/>
          <w:sz w:val="32"/>
          <w:szCs w:val="32"/>
          <w:lang w:val="en-US" w:eastAsia="zh-CN"/>
        </w:rPr>
        <w:t>2</w:t>
      </w:r>
      <w:r>
        <w:rPr>
          <w:rFonts w:hint="eastAsia" w:ascii="仿宋_GB2312" w:hAnsi="仿宋" w:eastAsia="仿宋_GB2312" w:cs="仿宋_GB2312"/>
          <w:sz w:val="32"/>
          <w:szCs w:val="32"/>
        </w:rPr>
        <w:t>分，得</w:t>
      </w:r>
      <w:r>
        <w:rPr>
          <w:rFonts w:hint="eastAsia" w:ascii="Times New Roman" w:hAnsi="Times New Roman" w:eastAsia="仿宋_GB2312" w:cs="仿宋_GB2312"/>
          <w:sz w:val="32"/>
          <w:szCs w:val="32"/>
          <w:lang w:val="en-US" w:eastAsia="zh-CN"/>
        </w:rPr>
        <w:t>2</w:t>
      </w:r>
      <w:r>
        <w:rPr>
          <w:rFonts w:hint="eastAsia" w:ascii="仿宋_GB2312" w:hAnsi="仿宋" w:eastAsia="仿宋_GB2312" w:cs="仿宋_GB2312"/>
          <w:sz w:val="32"/>
          <w:szCs w:val="32"/>
        </w:rPr>
        <w:t>分，得分率为</w:t>
      </w:r>
      <w:r>
        <w:rPr>
          <w:rFonts w:hint="eastAsia" w:ascii="Times New Roman" w:hAnsi="Times New Roman" w:eastAsia="仿宋_GB2312" w:cs="仿宋_GB2312"/>
          <w:sz w:val="32"/>
          <w:szCs w:val="32"/>
          <w:lang w:val="en-US" w:eastAsia="zh-CN"/>
        </w:rPr>
        <w:t>5</w:t>
      </w:r>
      <w:r>
        <w:rPr>
          <w:rFonts w:hint="eastAsia" w:ascii="Times New Roman" w:hAnsi="Times New Roman" w:eastAsia="仿宋_GB2312" w:cs="仿宋_GB2312"/>
          <w:sz w:val="32"/>
          <w:szCs w:val="32"/>
        </w:rPr>
        <w:t>0</w:t>
      </w:r>
      <w:r>
        <w:rPr>
          <w:rFonts w:hint="eastAsia" w:ascii="仿宋_GB2312" w:hAnsi="仿宋" w:eastAsia="仿宋_GB2312" w:cs="仿宋_GB2312"/>
          <w:sz w:val="32"/>
          <w:szCs w:val="32"/>
        </w:rPr>
        <w:t>%。</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Times New Roman" w:hAnsi="Times New Roman" w:eastAsia="仿宋_GB2312" w:cs="仿宋"/>
          <w:sz w:val="32"/>
          <w:szCs w:val="32"/>
          <w:lang w:val="en-US" w:eastAsia="zh-CN"/>
        </w:rPr>
        <w:t>5</w:t>
      </w:r>
      <w:r>
        <w:rPr>
          <w:rFonts w:hint="eastAsia" w:ascii="仿宋_GB2312" w:hAnsi="仿宋" w:eastAsia="仿宋_GB2312" w:cs="仿宋"/>
          <w:sz w:val="32"/>
          <w:szCs w:val="32"/>
        </w:rPr>
        <w:t>）</w:t>
      </w:r>
      <w:r>
        <w:rPr>
          <w:rFonts w:hint="eastAsia" w:ascii="Times New Roman" w:hAnsi="Times New Roman" w:eastAsia="仿宋_GB2312" w:cs="仿宋"/>
          <w:sz w:val="32"/>
          <w:szCs w:val="32"/>
        </w:rPr>
        <w:t>D</w:t>
      </w:r>
      <w:r>
        <w:rPr>
          <w:rFonts w:hint="eastAsia" w:ascii="Times New Roman" w:hAnsi="Times New Roman" w:eastAsia="仿宋_GB2312" w:cs="仿宋"/>
          <w:sz w:val="32"/>
          <w:szCs w:val="32"/>
          <w:lang w:val="en-US" w:eastAsia="zh-CN"/>
        </w:rPr>
        <w:t>32</w:t>
      </w:r>
      <w:r>
        <w:rPr>
          <w:rFonts w:hint="eastAsia" w:ascii="仿宋_GB2312" w:hAnsi="仿宋" w:eastAsia="仿宋_GB2312" w:cs="仿宋"/>
          <w:sz w:val="32"/>
          <w:szCs w:val="32"/>
        </w:rPr>
        <w:t>后期维护管护（</w:t>
      </w:r>
      <w:r>
        <w:rPr>
          <w:rFonts w:hint="eastAsia" w:ascii="Times New Roman" w:hAnsi="Times New Roman" w:eastAsia="仿宋_GB2312" w:cs="仿宋"/>
          <w:sz w:val="32"/>
          <w:szCs w:val="32"/>
        </w:rPr>
        <w:t>5</w:t>
      </w:r>
      <w:r>
        <w:rPr>
          <w:rFonts w:hint="eastAsia" w:ascii="仿宋_GB2312" w:hAnsi="仿宋" w:eastAsia="仿宋_GB2312" w:cs="仿宋"/>
          <w:sz w:val="32"/>
          <w:szCs w:val="32"/>
        </w:rPr>
        <w:t>分）。本指标主要考察项目是否根据实际需要建立健全后期管理与护理的相关制度或办法，保障项目的可持续性。</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评价组通过</w:t>
      </w:r>
      <w:r>
        <w:rPr>
          <w:rFonts w:hint="eastAsia" w:ascii="仿宋_GB2312" w:hAnsi="仿宋" w:eastAsia="仿宋_GB2312" w:cs="仿宋"/>
          <w:sz w:val="32"/>
          <w:szCs w:val="32"/>
          <w:lang w:val="en-US" w:eastAsia="zh-CN"/>
        </w:rPr>
        <w:t>查阅</w:t>
      </w:r>
      <w:r>
        <w:rPr>
          <w:rFonts w:hint="eastAsia" w:ascii="仿宋_GB2312" w:hAnsi="仿宋" w:eastAsia="仿宋_GB2312" w:cs="仿宋"/>
          <w:sz w:val="32"/>
          <w:szCs w:val="32"/>
        </w:rPr>
        <w:t>项目实施单位提供的</w:t>
      </w:r>
      <w:r>
        <w:rPr>
          <w:rFonts w:hint="eastAsia" w:ascii="仿宋_GB2312" w:hAnsi="仿宋" w:eastAsia="仿宋_GB2312" w:cs="仿宋"/>
          <w:sz w:val="32"/>
          <w:szCs w:val="32"/>
          <w:lang w:val="en-US" w:eastAsia="zh-CN"/>
        </w:rPr>
        <w:t>相关</w:t>
      </w:r>
      <w:r>
        <w:rPr>
          <w:rFonts w:hint="eastAsia" w:ascii="仿宋_GB2312" w:hAnsi="仿宋" w:eastAsia="仿宋_GB2312" w:cs="仿宋"/>
          <w:sz w:val="32"/>
          <w:szCs w:val="32"/>
        </w:rPr>
        <w:t>资料</w:t>
      </w:r>
      <w:r>
        <w:rPr>
          <w:rFonts w:hint="eastAsia" w:ascii="仿宋_GB2312" w:hAnsi="仿宋" w:eastAsia="仿宋_GB2312" w:cs="仿宋"/>
          <w:sz w:val="32"/>
          <w:szCs w:val="32"/>
          <w:lang w:val="en-US" w:eastAsia="zh-CN"/>
        </w:rPr>
        <w:t>及现场核实</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平陆县圣人涧镇营村村一组至二组道路建设工程项目落实管理和护理的责任主体，</w:t>
      </w:r>
      <w:r>
        <w:rPr>
          <w:rFonts w:hint="eastAsia" w:ascii="仿宋_GB2312" w:hAnsi="仿宋" w:eastAsia="仿宋_GB2312" w:cs="仿宋"/>
          <w:sz w:val="32"/>
          <w:szCs w:val="32"/>
        </w:rPr>
        <w:t>了解到项目完成后，按照规定，将工程移交平陆县</w:t>
      </w:r>
      <w:r>
        <w:rPr>
          <w:rFonts w:hint="eastAsia" w:ascii="仿宋_GB2312" w:hAnsi="仿宋" w:eastAsia="仿宋_GB2312" w:cs="仿宋"/>
          <w:sz w:val="32"/>
          <w:szCs w:val="32"/>
          <w:lang w:val="en-US" w:eastAsia="zh-CN"/>
        </w:rPr>
        <w:t>圣人涧镇营村</w:t>
      </w:r>
      <w:r>
        <w:rPr>
          <w:rFonts w:hint="eastAsia" w:ascii="仿宋_GB2312" w:hAnsi="仿宋" w:eastAsia="仿宋_GB2312" w:cs="仿宋"/>
          <w:sz w:val="32"/>
          <w:szCs w:val="32"/>
        </w:rPr>
        <w:t>村委实施管护。经核实，仅由村委工作人员进行简单养护，未制定具体的后期维护管护制度，后期维护管护有待进一步提高。</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根据设置的指标体系中确定的评分标准和评分办法，该项指标扣</w:t>
      </w:r>
      <w:r>
        <w:rPr>
          <w:rFonts w:hint="eastAsia" w:ascii="Times New Roman" w:hAnsi="Times New Roman" w:eastAsia="仿宋_GB2312" w:cs="仿宋"/>
          <w:sz w:val="32"/>
          <w:szCs w:val="32"/>
        </w:rPr>
        <w:t>3</w:t>
      </w:r>
      <w:r>
        <w:rPr>
          <w:rFonts w:hint="eastAsia" w:ascii="仿宋_GB2312" w:hAnsi="仿宋" w:eastAsia="仿宋_GB2312" w:cs="仿宋"/>
          <w:sz w:val="32"/>
          <w:szCs w:val="32"/>
        </w:rPr>
        <w:t>分，得</w:t>
      </w:r>
      <w:r>
        <w:rPr>
          <w:rFonts w:hint="eastAsia" w:ascii="Times New Roman" w:hAnsi="Times New Roman" w:eastAsia="仿宋_GB2312" w:cs="仿宋"/>
          <w:sz w:val="32"/>
          <w:szCs w:val="32"/>
        </w:rPr>
        <w:t>2</w:t>
      </w:r>
      <w:r>
        <w:rPr>
          <w:rFonts w:hint="eastAsia" w:ascii="仿宋_GB2312" w:hAnsi="仿宋" w:eastAsia="仿宋_GB2312" w:cs="仿宋"/>
          <w:sz w:val="32"/>
          <w:szCs w:val="32"/>
        </w:rPr>
        <w:t>分，得分率为4</w:t>
      </w:r>
      <w:r>
        <w:rPr>
          <w:rFonts w:hint="eastAsia" w:ascii="Times New Roman" w:hAnsi="Times New Roman" w:eastAsia="仿宋_GB2312" w:cs="仿宋"/>
          <w:sz w:val="32"/>
          <w:szCs w:val="32"/>
        </w:rPr>
        <w:t>0</w:t>
      </w:r>
      <w:r>
        <w:rPr>
          <w:rFonts w:hint="eastAsia" w:ascii="仿宋_GB2312" w:hAnsi="仿宋" w:eastAsia="仿宋_GB2312" w:cs="仿宋"/>
          <w:sz w:val="32"/>
          <w:szCs w:val="32"/>
        </w:rPr>
        <w:t>%。</w:t>
      </w:r>
    </w:p>
    <w:p>
      <w:pPr>
        <w:widowControl w:val="0"/>
        <w:ind w:firstLine="640" w:firstLineChars="200"/>
        <w:rPr>
          <w:rFonts w:ascii="Times New Roman" w:hAnsi="Times New Roman" w:eastAsia="仿宋_GB2312" w:cs="仿宋"/>
          <w:sz w:val="32"/>
          <w:szCs w:val="32"/>
        </w:rPr>
      </w:pPr>
      <w:r>
        <w:rPr>
          <w:rFonts w:hint="eastAsia" w:ascii="仿宋_GB2312" w:hAnsi="仿宋" w:eastAsia="仿宋_GB2312" w:cs="仿宋"/>
          <w:sz w:val="32"/>
          <w:szCs w:val="32"/>
        </w:rPr>
        <w:t>（</w:t>
      </w:r>
      <w:r>
        <w:rPr>
          <w:rFonts w:hint="eastAsia" w:ascii="Times New Roman" w:hAnsi="Times New Roman" w:eastAsia="仿宋_GB2312" w:cs="仿宋"/>
          <w:sz w:val="32"/>
          <w:szCs w:val="32"/>
          <w:lang w:val="en-US" w:eastAsia="zh-CN"/>
        </w:rPr>
        <w:t>6</w:t>
      </w:r>
      <w:r>
        <w:rPr>
          <w:rFonts w:hint="eastAsia" w:ascii="仿宋_GB2312" w:hAnsi="仿宋" w:eastAsia="仿宋_GB2312" w:cs="仿宋"/>
          <w:sz w:val="32"/>
          <w:szCs w:val="32"/>
        </w:rPr>
        <w:t>）</w:t>
      </w:r>
      <w:bookmarkEnd w:id="16"/>
      <w:bookmarkEnd w:id="52"/>
      <w:bookmarkEnd w:id="53"/>
      <w:bookmarkStart w:id="59" w:name="_Toc23442"/>
      <w:bookmarkStart w:id="60" w:name="_Toc2812401"/>
      <w:bookmarkStart w:id="61" w:name="_Toc9139"/>
      <w:bookmarkStart w:id="62" w:name="_Toc11338012"/>
      <w:bookmarkStart w:id="63" w:name="_Toc8380"/>
      <w:bookmarkStart w:id="64" w:name="_Toc6798"/>
      <w:bookmarkStart w:id="65" w:name="_Toc11344315"/>
      <w:bookmarkStart w:id="66" w:name="_Toc11344226"/>
      <w:bookmarkStart w:id="67" w:name="_Toc11336347"/>
      <w:bookmarkStart w:id="68" w:name="_Toc11336431"/>
      <w:bookmarkStart w:id="69" w:name="_Toc11344418"/>
      <w:bookmarkStart w:id="70" w:name="_Toc13045382"/>
      <w:r>
        <w:rPr>
          <w:rFonts w:hint="eastAsia" w:ascii="Times New Roman" w:hAnsi="Times New Roman" w:eastAsia="仿宋_GB2312" w:cs="仿宋"/>
          <w:sz w:val="32"/>
          <w:szCs w:val="32"/>
        </w:rPr>
        <w:t>D</w:t>
      </w:r>
      <w:r>
        <w:rPr>
          <w:rFonts w:hint="eastAsia" w:ascii="Times New Roman" w:hAnsi="Times New Roman" w:eastAsia="仿宋_GB2312" w:cs="仿宋"/>
          <w:sz w:val="32"/>
          <w:szCs w:val="32"/>
          <w:lang w:val="en-US" w:eastAsia="zh-CN"/>
        </w:rPr>
        <w:t>4</w:t>
      </w:r>
      <w:r>
        <w:rPr>
          <w:rFonts w:hint="eastAsia" w:ascii="Times New Roman" w:hAnsi="Times New Roman" w:eastAsia="仿宋_GB2312" w:cs="仿宋"/>
          <w:sz w:val="32"/>
          <w:szCs w:val="32"/>
        </w:rPr>
        <w:t>1</w:t>
      </w:r>
      <w:r>
        <w:rPr>
          <w:rFonts w:hint="eastAsia" w:ascii="仿宋_GB2312" w:hAnsi="仿宋" w:eastAsia="仿宋_GB2312" w:cs="仿宋"/>
          <w:sz w:val="32"/>
          <w:szCs w:val="32"/>
          <w:lang w:val="en-US" w:eastAsia="zh-CN"/>
        </w:rPr>
        <w:t>贫困人口</w:t>
      </w:r>
      <w:r>
        <w:rPr>
          <w:rFonts w:hint="eastAsia" w:ascii="仿宋_GB2312" w:hAnsi="仿宋" w:eastAsia="仿宋_GB2312" w:cs="仿宋"/>
          <w:sz w:val="32"/>
          <w:szCs w:val="32"/>
        </w:rPr>
        <w:t>满意度（</w:t>
      </w:r>
      <w:r>
        <w:rPr>
          <w:rFonts w:hint="eastAsia" w:ascii="Times New Roman" w:hAnsi="Times New Roman" w:eastAsia="仿宋_GB2312" w:cs="仿宋"/>
          <w:sz w:val="32"/>
          <w:szCs w:val="32"/>
          <w:lang w:val="en-US" w:eastAsia="zh-CN"/>
        </w:rPr>
        <w:t>8</w:t>
      </w:r>
      <w:r>
        <w:rPr>
          <w:rFonts w:hint="eastAsia" w:ascii="仿宋_GB2312" w:hAnsi="仿宋" w:eastAsia="仿宋_GB2312" w:cs="仿宋"/>
          <w:sz w:val="32"/>
          <w:szCs w:val="32"/>
        </w:rPr>
        <w:t>分）。本指标通过问卷调查方式，考察受益对象对项目实施的满意程度。</w:t>
      </w:r>
    </w:p>
    <w:p>
      <w:pPr>
        <w:widowControl w:val="0"/>
        <w:ind w:firstLine="640" w:firstLineChars="200"/>
        <w:rPr>
          <w:rFonts w:hint="eastAsia" w:ascii="仿宋_GB2312" w:hAnsi="仿宋_GB2312" w:eastAsia="仿宋_GB2312" w:cs="仿宋_GB2312"/>
          <w:sz w:val="32"/>
          <w:szCs w:val="32"/>
          <w:lang w:eastAsia="zh-CN"/>
        </w:rPr>
      </w:pPr>
      <w:r>
        <w:rPr>
          <w:rFonts w:hint="eastAsia" w:ascii="仿宋_GB2312" w:hAnsi="仿宋" w:eastAsia="仿宋_GB2312" w:cs="仿宋"/>
          <w:sz w:val="32"/>
          <w:szCs w:val="32"/>
        </w:rPr>
        <w:t>本次绩效评价</w:t>
      </w:r>
      <w:r>
        <w:rPr>
          <w:rFonts w:hint="eastAsia" w:ascii="仿宋_GB2312" w:hAnsi="仿宋" w:eastAsia="仿宋_GB2312" w:cs="仿宋"/>
          <w:sz w:val="32"/>
          <w:szCs w:val="32"/>
          <w:lang w:val="en-US" w:eastAsia="zh-CN"/>
        </w:rPr>
        <w:t>主要以项目区贫困人口为调查对象</w:t>
      </w:r>
      <w:r>
        <w:rPr>
          <w:rFonts w:hint="eastAsia" w:ascii="仿宋_GB2312" w:hAnsi="仿宋" w:eastAsia="仿宋_GB2312" w:cs="仿宋"/>
          <w:sz w:val="32"/>
          <w:szCs w:val="32"/>
        </w:rPr>
        <w:t>开展问卷调查，通过回收问卷结果分析，得到</w:t>
      </w:r>
      <w:r>
        <w:rPr>
          <w:rFonts w:hint="eastAsia" w:ascii="仿宋_GB2312" w:hAnsi="仿宋" w:eastAsia="仿宋_GB2312" w:cs="仿宋"/>
          <w:sz w:val="32"/>
          <w:szCs w:val="32"/>
          <w:lang w:val="en-US" w:eastAsia="zh-CN"/>
        </w:rPr>
        <w:t>综合</w:t>
      </w:r>
      <w:r>
        <w:rPr>
          <w:rFonts w:hint="eastAsia" w:ascii="仿宋_GB2312" w:hAnsi="仿宋" w:eastAsia="仿宋_GB2312" w:cs="仿宋"/>
          <w:sz w:val="32"/>
          <w:szCs w:val="32"/>
        </w:rPr>
        <w:t>满意度为</w:t>
      </w:r>
      <w:r>
        <w:rPr>
          <w:rFonts w:hint="eastAsia" w:ascii="Times New Roman" w:hAnsi="Times New Roman" w:eastAsia="仿宋_GB2312" w:cs="仿宋"/>
          <w:sz w:val="32"/>
          <w:szCs w:val="32"/>
        </w:rPr>
        <w:t>8</w:t>
      </w:r>
      <w:r>
        <w:rPr>
          <w:rFonts w:hint="eastAsia" w:ascii="Times New Roman" w:hAnsi="Times New Roman" w:eastAsia="仿宋_GB2312" w:cs="仿宋"/>
          <w:sz w:val="32"/>
          <w:szCs w:val="32"/>
          <w:lang w:val="en-US" w:eastAsia="zh-CN"/>
        </w:rPr>
        <w:t>5</w:t>
      </w:r>
      <w:r>
        <w:rPr>
          <w:rFonts w:hint="eastAsia" w:ascii="Times New Roman" w:hAnsi="Times New Roman" w:eastAsia="仿宋_GB2312" w:cs="仿宋"/>
          <w:sz w:val="32"/>
          <w:szCs w:val="32"/>
        </w:rPr>
        <w:t>.67</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w:t>
      </w:r>
    </w:p>
    <w:p>
      <w:pPr>
        <w:widowControl w:val="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根据设置的指标体系中确定的评分标准和评分办法，该项指标扣</w:t>
      </w:r>
      <w:r>
        <w:rPr>
          <w:rFonts w:hint="eastAsia" w:ascii="Times New Roman" w:hAnsi="Times New Roman" w:eastAsia="仿宋_GB2312" w:cs="仿宋"/>
          <w:sz w:val="32"/>
          <w:szCs w:val="32"/>
          <w:lang w:val="en-US" w:eastAsia="zh-CN"/>
        </w:rPr>
        <w:t>1.15</w:t>
      </w:r>
      <w:r>
        <w:rPr>
          <w:rFonts w:hint="eastAsia" w:ascii="仿宋_GB2312" w:hAnsi="仿宋" w:eastAsia="仿宋_GB2312" w:cs="仿宋"/>
          <w:sz w:val="32"/>
          <w:szCs w:val="32"/>
        </w:rPr>
        <w:t>分，得</w:t>
      </w:r>
      <w:r>
        <w:rPr>
          <w:rFonts w:hint="eastAsia" w:ascii="Times New Roman" w:hAnsi="Times New Roman" w:eastAsia="仿宋_GB2312" w:cs="仿宋"/>
          <w:sz w:val="32"/>
          <w:szCs w:val="32"/>
        </w:rPr>
        <w:t>6.</w:t>
      </w:r>
      <w:r>
        <w:rPr>
          <w:rFonts w:hint="eastAsia" w:ascii="Times New Roman" w:hAnsi="Times New Roman" w:eastAsia="仿宋_GB2312" w:cs="仿宋"/>
          <w:sz w:val="32"/>
          <w:szCs w:val="32"/>
          <w:lang w:val="en-US" w:eastAsia="zh-CN"/>
        </w:rPr>
        <w:t>85</w:t>
      </w:r>
      <w:r>
        <w:rPr>
          <w:rFonts w:hint="eastAsia" w:ascii="仿宋_GB2312" w:hAnsi="仿宋" w:eastAsia="仿宋_GB2312" w:cs="仿宋"/>
          <w:sz w:val="32"/>
          <w:szCs w:val="32"/>
        </w:rPr>
        <w:t>分，得分率为</w:t>
      </w:r>
      <w:r>
        <w:rPr>
          <w:rFonts w:hint="eastAsia" w:ascii="Times New Roman" w:hAnsi="Times New Roman" w:eastAsia="仿宋_GB2312" w:cs="仿宋"/>
          <w:sz w:val="32"/>
          <w:szCs w:val="32"/>
        </w:rPr>
        <w:t>8</w:t>
      </w:r>
      <w:r>
        <w:rPr>
          <w:rFonts w:hint="eastAsia" w:ascii="Times New Roman" w:hAnsi="Times New Roman" w:eastAsia="仿宋_GB2312" w:cs="仿宋"/>
          <w:sz w:val="32"/>
          <w:szCs w:val="32"/>
          <w:lang w:val="en-US" w:eastAsia="zh-CN"/>
        </w:rPr>
        <w:t>5</w:t>
      </w:r>
      <w:r>
        <w:rPr>
          <w:rFonts w:hint="eastAsia" w:ascii="Times New Roman" w:hAnsi="Times New Roman" w:eastAsia="仿宋_GB2312" w:cs="仿宋"/>
          <w:sz w:val="32"/>
          <w:szCs w:val="32"/>
        </w:rPr>
        <w:t>.</w:t>
      </w:r>
      <w:r>
        <w:rPr>
          <w:rFonts w:hint="eastAsia" w:ascii="Times New Roman" w:hAnsi="Times New Roman" w:eastAsia="仿宋_GB2312" w:cs="仿宋"/>
          <w:sz w:val="32"/>
          <w:szCs w:val="32"/>
          <w:lang w:val="en-US" w:eastAsia="zh-CN"/>
        </w:rPr>
        <w:t>63</w:t>
      </w:r>
      <w:r>
        <w:rPr>
          <w:rFonts w:hint="eastAsia" w:ascii="仿宋_GB2312" w:hAnsi="仿宋" w:eastAsia="仿宋_GB2312" w:cs="仿宋"/>
          <w:sz w:val="32"/>
          <w:szCs w:val="32"/>
        </w:rPr>
        <w:t>%。</w:t>
      </w:r>
    </w:p>
    <w:p>
      <w:pPr>
        <w:pStyle w:val="3"/>
        <w:widowControl w:val="0"/>
        <w:spacing w:line="360" w:lineRule="auto"/>
        <w:ind w:firstLine="640" w:firstLineChars="200"/>
        <w:rPr>
          <w:kern w:val="2"/>
        </w:rPr>
      </w:pPr>
      <w:bookmarkStart w:id="71" w:name="_Toc32452"/>
      <w:r>
        <w:rPr>
          <w:rFonts w:hint="eastAsia"/>
          <w:kern w:val="2"/>
        </w:rPr>
        <w:t>四、评价结论</w:t>
      </w:r>
      <w:bookmarkEnd w:id="71"/>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本次绩效评价结果采用综合评分定级的方法，总分值为</w:t>
      </w:r>
      <w:r>
        <w:rPr>
          <w:rFonts w:hint="eastAsia" w:ascii="Times New Roman" w:hAnsi="Times New Roman" w:eastAsia="仿宋_GB2312" w:cs="仿宋_GB2312"/>
          <w:sz w:val="32"/>
          <w:szCs w:val="32"/>
        </w:rPr>
        <w:t>100</w:t>
      </w:r>
      <w:r>
        <w:rPr>
          <w:rFonts w:hint="eastAsia" w:ascii="仿宋_GB2312" w:hAnsi="仿宋_GB2312" w:eastAsia="仿宋_GB2312" w:cs="仿宋_GB2312"/>
          <w:sz w:val="32"/>
          <w:szCs w:val="32"/>
        </w:rPr>
        <w:t>分。综合评分分级标准是：综合评分</w:t>
      </w:r>
      <w:r>
        <w:rPr>
          <w:rFonts w:hint="eastAsia" w:ascii="Times New Roman" w:hAnsi="Times New Roman" w:eastAsia="仿宋_GB2312" w:cs="仿宋_GB2312"/>
          <w:sz w:val="32"/>
          <w:szCs w:val="32"/>
        </w:rPr>
        <w:t>90</w:t>
      </w:r>
      <w:r>
        <w:rPr>
          <w:rFonts w:hint="eastAsia" w:ascii="仿宋_GB2312" w:hAnsi="仿宋_GB2312" w:eastAsia="仿宋_GB2312" w:cs="仿宋_GB2312"/>
          <w:sz w:val="32"/>
          <w:szCs w:val="32"/>
        </w:rPr>
        <w:t>分（含）-</w:t>
      </w:r>
      <w:r>
        <w:rPr>
          <w:rFonts w:hint="eastAsia" w:ascii="Times New Roman" w:hAnsi="Times New Roman" w:eastAsia="仿宋_GB2312" w:cs="仿宋_GB2312"/>
          <w:sz w:val="32"/>
          <w:szCs w:val="32"/>
        </w:rPr>
        <w:t>100</w:t>
      </w:r>
      <w:r>
        <w:rPr>
          <w:rFonts w:hint="eastAsia" w:ascii="仿宋_GB2312" w:hAnsi="仿宋_GB2312" w:eastAsia="仿宋_GB2312" w:cs="仿宋_GB2312"/>
          <w:sz w:val="32"/>
          <w:szCs w:val="32"/>
        </w:rPr>
        <w:t>分为“优”，</w:t>
      </w:r>
      <w:r>
        <w:rPr>
          <w:rFonts w:hint="eastAsia" w:ascii="Times New Roman" w:hAnsi="Times New Roman" w:eastAsia="仿宋_GB2312" w:cs="仿宋_GB2312"/>
          <w:sz w:val="32"/>
          <w:szCs w:val="32"/>
        </w:rPr>
        <w:t>80</w:t>
      </w:r>
      <w:r>
        <w:rPr>
          <w:rFonts w:hint="eastAsia" w:ascii="仿宋_GB2312" w:hAnsi="仿宋_GB2312" w:eastAsia="仿宋_GB2312" w:cs="仿宋_GB2312"/>
          <w:sz w:val="32"/>
          <w:szCs w:val="32"/>
        </w:rPr>
        <w:t>分（含）-</w:t>
      </w:r>
      <w:r>
        <w:rPr>
          <w:rFonts w:hint="eastAsia" w:ascii="Times New Roman" w:hAnsi="Times New Roman" w:eastAsia="仿宋_GB2312" w:cs="仿宋_GB2312"/>
          <w:sz w:val="32"/>
          <w:szCs w:val="32"/>
        </w:rPr>
        <w:t>90</w:t>
      </w:r>
      <w:r>
        <w:rPr>
          <w:rFonts w:hint="eastAsia" w:ascii="仿宋_GB2312" w:hAnsi="仿宋_GB2312" w:eastAsia="仿宋_GB2312" w:cs="仿宋_GB2312"/>
          <w:sz w:val="32"/>
          <w:szCs w:val="32"/>
        </w:rPr>
        <w:t>分为“良”，</w:t>
      </w:r>
      <w:r>
        <w:rPr>
          <w:rFonts w:hint="eastAsia" w:ascii="Times New Roman" w:hAnsi="Times New Roman" w:eastAsia="仿宋_GB2312" w:cs="仿宋_GB2312"/>
          <w:sz w:val="32"/>
          <w:szCs w:val="32"/>
        </w:rPr>
        <w:t>60</w:t>
      </w:r>
      <w:r>
        <w:rPr>
          <w:rFonts w:hint="eastAsia" w:ascii="仿宋_GB2312" w:hAnsi="仿宋_GB2312" w:eastAsia="仿宋_GB2312" w:cs="仿宋_GB2312"/>
          <w:sz w:val="32"/>
          <w:szCs w:val="32"/>
        </w:rPr>
        <w:t>分（含）-</w:t>
      </w:r>
      <w:r>
        <w:rPr>
          <w:rFonts w:hint="eastAsia" w:ascii="Times New Roman" w:hAnsi="Times New Roman" w:eastAsia="仿宋_GB2312" w:cs="仿宋_GB2312"/>
          <w:sz w:val="32"/>
          <w:szCs w:val="32"/>
        </w:rPr>
        <w:t>80</w:t>
      </w:r>
      <w:r>
        <w:rPr>
          <w:rFonts w:hint="eastAsia" w:ascii="仿宋_GB2312" w:hAnsi="仿宋_GB2312" w:eastAsia="仿宋_GB2312" w:cs="仿宋_GB2312"/>
          <w:sz w:val="32"/>
          <w:szCs w:val="32"/>
        </w:rPr>
        <w:t>分为“中”，</w:t>
      </w:r>
      <w:r>
        <w:rPr>
          <w:rFonts w:hint="eastAsia" w:ascii="Times New Roman" w:hAnsi="Times New Roman" w:eastAsia="仿宋_GB2312" w:cs="仿宋_GB2312"/>
          <w:sz w:val="32"/>
          <w:szCs w:val="32"/>
        </w:rPr>
        <w:t>60</w:t>
      </w:r>
      <w:r>
        <w:rPr>
          <w:rFonts w:hint="eastAsia" w:ascii="仿宋_GB2312" w:hAnsi="仿宋_GB2312" w:eastAsia="仿宋_GB2312" w:cs="仿宋_GB2312"/>
          <w:sz w:val="32"/>
          <w:szCs w:val="32"/>
        </w:rPr>
        <w:t>分以下为“差”</w:t>
      </w:r>
      <w:r>
        <w:rPr>
          <w:rFonts w:hint="eastAsia" w:ascii="仿宋_GB2312" w:hAnsi="仿宋" w:eastAsia="仿宋_GB2312" w:cs="Times New Roman"/>
          <w:sz w:val="32"/>
          <w:szCs w:val="32"/>
        </w:rPr>
        <w:t>。</w:t>
      </w:r>
    </w:p>
    <w:p>
      <w:pPr>
        <w:widowControl w:val="0"/>
        <w:overflowPunct w:val="0"/>
        <w:ind w:firstLine="643" w:firstLineChars="200"/>
        <w:rPr>
          <w:rFonts w:ascii="仿宋_GB2312" w:hAnsi="仿宋_GB2312" w:eastAsia="仿宋_GB2312" w:cs="仿宋_GB2312"/>
          <w:b/>
          <w:sz w:val="32"/>
          <w:szCs w:val="32"/>
        </w:rPr>
      </w:pPr>
      <w:r>
        <w:rPr>
          <w:rFonts w:hint="eastAsia" w:ascii="Times New Roman" w:hAnsi="Times New Roman" w:eastAsia="仿宋_GB2312" w:cs="仿宋_GB2312"/>
          <w:b/>
          <w:sz w:val="32"/>
          <w:szCs w:val="32"/>
          <w:lang w:eastAsia="zh-CN"/>
        </w:rPr>
        <w:t>（</w:t>
      </w:r>
      <w:r>
        <w:rPr>
          <w:rFonts w:hint="eastAsia" w:ascii="Times New Roman" w:hAnsi="Times New Roman" w:eastAsia="仿宋_GB2312" w:cs="仿宋_GB2312"/>
          <w:b/>
          <w:sz w:val="32"/>
          <w:szCs w:val="32"/>
          <w:lang w:val="en-US" w:eastAsia="zh-CN"/>
        </w:rPr>
        <w:t>一）</w:t>
      </w:r>
      <w:r>
        <w:rPr>
          <w:rFonts w:hint="eastAsia" w:ascii="仿宋_GB2312" w:hAnsi="仿宋_GB2312" w:eastAsia="仿宋_GB2312" w:cs="仿宋_GB2312"/>
          <w:b/>
          <w:sz w:val="32"/>
          <w:szCs w:val="32"/>
        </w:rPr>
        <w:t>项目总体评价结果和主要结论</w:t>
      </w:r>
    </w:p>
    <w:p>
      <w:pPr>
        <w:widowControl w:val="0"/>
        <w:ind w:firstLine="643" w:firstLineChars="200"/>
        <w:rPr>
          <w:rFonts w:ascii="仿宋_GB2312" w:hAnsi="仿宋_GB2312" w:eastAsia="仿宋_GB2312" w:cs="仿宋_GB2312"/>
          <w:sz w:val="32"/>
          <w:szCs w:val="32"/>
        </w:rPr>
      </w:pPr>
      <w:r>
        <w:rPr>
          <w:rFonts w:hint="eastAsia" w:ascii="Times New Roman" w:hAnsi="Times New Roman" w:eastAsia="仿宋_GB2312" w:cs="仿宋_GB2312"/>
          <w:b/>
          <w:sz w:val="32"/>
          <w:szCs w:val="32"/>
        </w:rPr>
        <w:t>1</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项目总体评价结果。</w:t>
      </w:r>
      <w:r>
        <w:rPr>
          <w:rFonts w:hint="eastAsia" w:ascii="Times New Roman" w:hAnsi="Times New Roman" w:eastAsia="仿宋_GB2312" w:cs="仿宋_GB2312"/>
          <w:sz w:val="32"/>
          <w:szCs w:val="32"/>
        </w:rPr>
        <w:t>2019年平陆县圣人涧镇营村村一组至二组道路建设工程项目</w:t>
      </w:r>
      <w:r>
        <w:rPr>
          <w:rFonts w:hint="eastAsia" w:ascii="仿宋_GB2312" w:hAnsi="仿宋_GB2312" w:eastAsia="仿宋_GB2312" w:cs="仿宋_GB2312"/>
          <w:sz w:val="32"/>
          <w:szCs w:val="32"/>
        </w:rPr>
        <w:t>绩效评价得分</w:t>
      </w:r>
      <w:r>
        <w:rPr>
          <w:rFonts w:hint="eastAsia" w:ascii="Times New Roman" w:hAnsi="Times New Roman" w:eastAsia="仿宋_GB2312" w:cs="仿宋_GB2312"/>
          <w:sz w:val="32"/>
          <w:szCs w:val="32"/>
        </w:rPr>
        <w:t>8</w:t>
      </w:r>
      <w:r>
        <w:rPr>
          <w:rFonts w:hint="eastAsia" w:ascii="Times New Roman" w:hAnsi="Times New Roman" w:eastAsia="仿宋_GB2312" w:cs="仿宋_GB2312"/>
          <w:sz w:val="32"/>
          <w:szCs w:val="32"/>
          <w:lang w:val="en-US" w:eastAsia="zh-CN"/>
        </w:rPr>
        <w:t>7</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51</w:t>
      </w:r>
      <w:r>
        <w:rPr>
          <w:rFonts w:hint="eastAsia" w:ascii="仿宋_GB2312" w:hAnsi="仿宋_GB2312" w:eastAsia="仿宋_GB2312" w:cs="仿宋_GB2312"/>
          <w:sz w:val="32"/>
          <w:szCs w:val="32"/>
        </w:rPr>
        <w:t>分，评价等级为“良”。项目具体权重和得分情况见下表</w:t>
      </w: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，具体评分明细见附件</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w:t>
      </w:r>
    </w:p>
    <w:p>
      <w:pPr>
        <w:spacing w:line="240" w:lineRule="auto"/>
        <w:jc w:val="center"/>
        <w:rPr>
          <w:rFonts w:ascii="黑体" w:hAnsi="黑体" w:eastAsia="黑体"/>
          <w:sz w:val="28"/>
          <w:szCs w:val="28"/>
        </w:rPr>
      </w:pPr>
      <w:r>
        <w:rPr>
          <w:rFonts w:hint="eastAsia" w:ascii="黑体" w:hAnsi="黑体" w:eastAsia="黑体"/>
          <w:sz w:val="28"/>
          <w:szCs w:val="28"/>
        </w:rPr>
        <w:t>表</w:t>
      </w:r>
      <w:r>
        <w:rPr>
          <w:rFonts w:hint="eastAsia" w:ascii="Times New Roman" w:hAnsi="Times New Roman" w:eastAsia="黑体"/>
          <w:sz w:val="28"/>
          <w:szCs w:val="28"/>
        </w:rPr>
        <w:t>4</w:t>
      </w:r>
      <w:r>
        <w:rPr>
          <w:rFonts w:hint="eastAsia" w:ascii="黑体" w:hAnsi="黑体" w:eastAsia="黑体"/>
          <w:sz w:val="28"/>
          <w:szCs w:val="28"/>
        </w:rPr>
        <w:t>-</w:t>
      </w:r>
      <w:r>
        <w:rPr>
          <w:rFonts w:hint="eastAsia" w:ascii="Times New Roman" w:hAnsi="Times New Roman" w:eastAsia="黑体"/>
          <w:sz w:val="28"/>
          <w:szCs w:val="28"/>
        </w:rPr>
        <w:t>1</w:t>
      </w:r>
      <w:r>
        <w:rPr>
          <w:rFonts w:hint="eastAsia" w:ascii="黑体" w:hAnsi="黑体" w:eastAsia="黑体"/>
          <w:sz w:val="28"/>
          <w:szCs w:val="28"/>
        </w:rPr>
        <w:t xml:space="preserve"> 项目总体绩效评价评分表</w:t>
      </w:r>
    </w:p>
    <w:tbl>
      <w:tblPr>
        <w:tblStyle w:val="19"/>
        <w:tblW w:w="8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0"/>
        <w:gridCol w:w="2010"/>
        <w:gridCol w:w="2010"/>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blHeader/>
          <w:jc w:val="center"/>
        </w:trPr>
        <w:tc>
          <w:tcPr>
            <w:tcW w:w="2010" w:type="dxa"/>
            <w:shd w:val="clear" w:color="auto" w:fill="A5A5A5" w:themeFill="background1" w:themeFillShade="A6"/>
            <w:vAlign w:val="center"/>
          </w:tcPr>
          <w:p>
            <w:pPr>
              <w:spacing w:line="320" w:lineRule="exact"/>
              <w:jc w:val="center"/>
              <w:rPr>
                <w:rFonts w:ascii="仿宋" w:hAnsi="仿宋" w:eastAsia="仿宋"/>
                <w:b/>
                <w:szCs w:val="22"/>
              </w:rPr>
            </w:pPr>
            <w:r>
              <w:rPr>
                <w:rFonts w:hint="eastAsia" w:ascii="仿宋" w:hAnsi="仿宋" w:eastAsia="仿宋"/>
                <w:b/>
                <w:szCs w:val="22"/>
              </w:rPr>
              <w:t>一级指标</w:t>
            </w:r>
          </w:p>
        </w:tc>
        <w:tc>
          <w:tcPr>
            <w:tcW w:w="2010" w:type="dxa"/>
            <w:shd w:val="clear" w:color="auto" w:fill="A5A5A5" w:themeFill="background1" w:themeFillShade="A6"/>
            <w:vAlign w:val="center"/>
          </w:tcPr>
          <w:p>
            <w:pPr>
              <w:spacing w:line="320" w:lineRule="exact"/>
              <w:jc w:val="center"/>
              <w:rPr>
                <w:rFonts w:ascii="仿宋" w:hAnsi="仿宋" w:eastAsia="仿宋"/>
                <w:b/>
                <w:szCs w:val="22"/>
              </w:rPr>
            </w:pPr>
            <w:r>
              <w:rPr>
                <w:rFonts w:hint="eastAsia" w:ascii="仿宋" w:hAnsi="仿宋" w:eastAsia="仿宋"/>
                <w:b/>
                <w:szCs w:val="22"/>
              </w:rPr>
              <w:t>权重</w:t>
            </w:r>
          </w:p>
        </w:tc>
        <w:tc>
          <w:tcPr>
            <w:tcW w:w="2010" w:type="dxa"/>
            <w:shd w:val="clear" w:color="auto" w:fill="A5A5A5" w:themeFill="background1" w:themeFillShade="A6"/>
            <w:vAlign w:val="center"/>
          </w:tcPr>
          <w:p>
            <w:pPr>
              <w:spacing w:line="320" w:lineRule="exact"/>
              <w:jc w:val="center"/>
              <w:rPr>
                <w:rFonts w:ascii="仿宋" w:hAnsi="仿宋" w:eastAsia="仿宋"/>
                <w:b/>
                <w:szCs w:val="22"/>
              </w:rPr>
            </w:pPr>
            <w:r>
              <w:rPr>
                <w:rFonts w:hint="eastAsia" w:ascii="仿宋" w:hAnsi="仿宋" w:eastAsia="仿宋"/>
                <w:b/>
                <w:szCs w:val="22"/>
              </w:rPr>
              <w:t>得分</w:t>
            </w:r>
          </w:p>
        </w:tc>
        <w:tc>
          <w:tcPr>
            <w:tcW w:w="2102" w:type="dxa"/>
            <w:shd w:val="clear" w:color="auto" w:fill="A5A5A5" w:themeFill="background1" w:themeFillShade="A6"/>
            <w:vAlign w:val="center"/>
          </w:tcPr>
          <w:p>
            <w:pPr>
              <w:spacing w:line="320" w:lineRule="exact"/>
              <w:jc w:val="center"/>
              <w:rPr>
                <w:rFonts w:ascii="仿宋" w:hAnsi="仿宋" w:eastAsia="仿宋"/>
                <w:b/>
                <w:szCs w:val="22"/>
              </w:rPr>
            </w:pPr>
            <w:r>
              <w:rPr>
                <w:rFonts w:hint="eastAsia" w:ascii="仿宋" w:hAnsi="仿宋" w:eastAsia="仿宋"/>
                <w:b/>
                <w:szCs w:val="22"/>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010" w:type="dxa"/>
            <w:vAlign w:val="center"/>
          </w:tcPr>
          <w:p>
            <w:pPr>
              <w:spacing w:line="240" w:lineRule="auto"/>
              <w:jc w:val="center"/>
              <w:rPr>
                <w:rFonts w:ascii="仿宋" w:hAnsi="仿宋" w:eastAsia="仿宋"/>
                <w:szCs w:val="22"/>
              </w:rPr>
            </w:pPr>
            <w:r>
              <w:rPr>
                <w:rFonts w:hint="eastAsia" w:ascii="仿宋" w:hAnsi="仿宋" w:eastAsia="仿宋"/>
                <w:szCs w:val="22"/>
              </w:rPr>
              <w:t>决策</w:t>
            </w:r>
          </w:p>
        </w:tc>
        <w:tc>
          <w:tcPr>
            <w:tcW w:w="2010" w:type="dxa"/>
            <w:vAlign w:val="center"/>
          </w:tcPr>
          <w:p>
            <w:pPr>
              <w:spacing w:line="240" w:lineRule="auto"/>
              <w:jc w:val="center"/>
              <w:rPr>
                <w:rFonts w:ascii="仿宋" w:hAnsi="仿宋" w:eastAsia="仿宋"/>
                <w:szCs w:val="22"/>
              </w:rPr>
            </w:pPr>
            <w:r>
              <w:rPr>
                <w:rFonts w:hint="eastAsia" w:ascii="Times New Roman" w:hAnsi="Times New Roman" w:eastAsia="仿宋"/>
                <w:szCs w:val="22"/>
              </w:rPr>
              <w:t>20</w:t>
            </w:r>
          </w:p>
        </w:tc>
        <w:tc>
          <w:tcPr>
            <w:tcW w:w="2010" w:type="dxa"/>
            <w:vAlign w:val="center"/>
          </w:tcPr>
          <w:p>
            <w:pPr>
              <w:spacing w:line="240" w:lineRule="auto"/>
              <w:jc w:val="center"/>
              <w:rPr>
                <w:rFonts w:hint="default" w:ascii="仿宋" w:hAnsi="仿宋" w:eastAsia="仿宋"/>
                <w:szCs w:val="22"/>
                <w:lang w:val="en-US" w:eastAsia="zh-CN"/>
              </w:rPr>
            </w:pPr>
            <w:r>
              <w:rPr>
                <w:rFonts w:hint="eastAsia" w:ascii="Times New Roman" w:hAnsi="Times New Roman" w:eastAsia="仿宋"/>
                <w:szCs w:val="22"/>
                <w:lang w:val="en-US" w:eastAsia="zh-CN"/>
              </w:rPr>
              <w:t>20</w:t>
            </w:r>
          </w:p>
        </w:tc>
        <w:tc>
          <w:tcPr>
            <w:tcW w:w="2102" w:type="dxa"/>
            <w:vAlign w:val="center"/>
          </w:tcPr>
          <w:p>
            <w:pPr>
              <w:spacing w:line="240" w:lineRule="auto"/>
              <w:jc w:val="center"/>
              <w:rPr>
                <w:rFonts w:ascii="仿宋" w:hAnsi="仿宋" w:eastAsia="仿宋"/>
                <w:szCs w:val="22"/>
              </w:rPr>
            </w:pPr>
            <w:r>
              <w:rPr>
                <w:rFonts w:hint="eastAsia" w:ascii="Times New Roman" w:hAnsi="Times New Roman" w:eastAsia="仿宋"/>
                <w:szCs w:val="22"/>
                <w:lang w:val="en-US" w:eastAsia="zh-CN"/>
              </w:rPr>
              <w:t>10</w:t>
            </w:r>
            <w:r>
              <w:rPr>
                <w:rFonts w:hint="eastAsia" w:ascii="Times New Roman" w:hAnsi="Times New Roman" w:eastAsia="仿宋"/>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010" w:type="dxa"/>
            <w:vAlign w:val="center"/>
          </w:tcPr>
          <w:p>
            <w:pPr>
              <w:spacing w:line="240" w:lineRule="auto"/>
              <w:jc w:val="center"/>
              <w:rPr>
                <w:rFonts w:ascii="仿宋" w:hAnsi="仿宋" w:eastAsia="仿宋"/>
                <w:szCs w:val="22"/>
              </w:rPr>
            </w:pPr>
            <w:r>
              <w:rPr>
                <w:rFonts w:hint="eastAsia" w:ascii="仿宋" w:hAnsi="仿宋" w:eastAsia="仿宋"/>
                <w:szCs w:val="22"/>
              </w:rPr>
              <w:t>过程</w:t>
            </w:r>
          </w:p>
        </w:tc>
        <w:tc>
          <w:tcPr>
            <w:tcW w:w="2010" w:type="dxa"/>
            <w:vAlign w:val="center"/>
          </w:tcPr>
          <w:p>
            <w:pPr>
              <w:spacing w:line="240" w:lineRule="auto"/>
              <w:jc w:val="center"/>
              <w:rPr>
                <w:rFonts w:ascii="仿宋" w:hAnsi="仿宋" w:eastAsia="仿宋"/>
                <w:szCs w:val="22"/>
              </w:rPr>
            </w:pPr>
            <w:r>
              <w:rPr>
                <w:rFonts w:hint="eastAsia" w:ascii="Times New Roman" w:hAnsi="Times New Roman" w:eastAsia="仿宋"/>
                <w:szCs w:val="22"/>
              </w:rPr>
              <w:t>20</w:t>
            </w:r>
          </w:p>
        </w:tc>
        <w:tc>
          <w:tcPr>
            <w:tcW w:w="2010" w:type="dxa"/>
            <w:vAlign w:val="center"/>
          </w:tcPr>
          <w:p>
            <w:pPr>
              <w:spacing w:line="240" w:lineRule="auto"/>
              <w:jc w:val="center"/>
              <w:rPr>
                <w:rFonts w:hint="default" w:ascii="仿宋" w:hAnsi="仿宋" w:eastAsia="仿宋"/>
                <w:szCs w:val="22"/>
                <w:lang w:val="en-US" w:eastAsia="zh-CN"/>
              </w:rPr>
            </w:pPr>
            <w:r>
              <w:rPr>
                <w:rFonts w:hint="eastAsia" w:ascii="Times New Roman" w:hAnsi="Times New Roman" w:eastAsia="仿宋"/>
                <w:szCs w:val="22"/>
                <w:lang w:val="en-US" w:eastAsia="zh-CN"/>
              </w:rPr>
              <w:t>16.66</w:t>
            </w:r>
          </w:p>
        </w:tc>
        <w:tc>
          <w:tcPr>
            <w:tcW w:w="2102" w:type="dxa"/>
            <w:vAlign w:val="center"/>
          </w:tcPr>
          <w:p>
            <w:pPr>
              <w:spacing w:line="240" w:lineRule="auto"/>
              <w:jc w:val="center"/>
              <w:rPr>
                <w:rFonts w:hint="default" w:ascii="仿宋" w:hAnsi="仿宋" w:eastAsia="仿宋"/>
                <w:szCs w:val="22"/>
                <w:lang w:val="en-US" w:eastAsia="zh-CN"/>
              </w:rPr>
            </w:pPr>
            <w:r>
              <w:rPr>
                <w:rFonts w:hint="eastAsia" w:ascii="Times New Roman" w:hAnsi="Times New Roman" w:eastAsia="仿宋"/>
                <w:szCs w:val="22"/>
              </w:rPr>
              <w:t>8</w:t>
            </w:r>
            <w:r>
              <w:rPr>
                <w:rFonts w:hint="eastAsia" w:ascii="Times New Roman" w:hAnsi="Times New Roman" w:eastAsia="仿宋"/>
                <w:szCs w:val="22"/>
                <w:lang w:val="en-US" w:eastAsia="zh-CN"/>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010" w:type="dxa"/>
            <w:vAlign w:val="center"/>
          </w:tcPr>
          <w:p>
            <w:pPr>
              <w:spacing w:line="240" w:lineRule="auto"/>
              <w:jc w:val="center"/>
              <w:rPr>
                <w:rFonts w:ascii="仿宋" w:hAnsi="仿宋" w:eastAsia="仿宋"/>
                <w:szCs w:val="22"/>
              </w:rPr>
            </w:pPr>
            <w:r>
              <w:rPr>
                <w:rFonts w:hint="eastAsia" w:ascii="仿宋" w:hAnsi="仿宋" w:eastAsia="仿宋"/>
                <w:szCs w:val="22"/>
              </w:rPr>
              <w:t>产出</w:t>
            </w:r>
          </w:p>
        </w:tc>
        <w:tc>
          <w:tcPr>
            <w:tcW w:w="2010" w:type="dxa"/>
            <w:vAlign w:val="center"/>
          </w:tcPr>
          <w:p>
            <w:pPr>
              <w:spacing w:line="240" w:lineRule="auto"/>
              <w:jc w:val="center"/>
              <w:rPr>
                <w:rFonts w:ascii="仿宋" w:hAnsi="仿宋" w:eastAsia="仿宋"/>
                <w:szCs w:val="22"/>
              </w:rPr>
            </w:pPr>
            <w:r>
              <w:rPr>
                <w:rFonts w:hint="eastAsia" w:ascii="Times New Roman" w:hAnsi="Times New Roman" w:eastAsia="仿宋"/>
                <w:szCs w:val="22"/>
              </w:rPr>
              <w:t>30</w:t>
            </w:r>
          </w:p>
        </w:tc>
        <w:tc>
          <w:tcPr>
            <w:tcW w:w="2010" w:type="dxa"/>
            <w:vAlign w:val="center"/>
          </w:tcPr>
          <w:p>
            <w:pPr>
              <w:spacing w:line="240" w:lineRule="auto"/>
              <w:jc w:val="center"/>
              <w:rPr>
                <w:rFonts w:hint="default" w:ascii="仿宋" w:hAnsi="仿宋" w:eastAsia="仿宋"/>
                <w:szCs w:val="22"/>
                <w:lang w:val="en-US" w:eastAsia="zh-CN"/>
              </w:rPr>
            </w:pPr>
            <w:r>
              <w:rPr>
                <w:rFonts w:hint="eastAsia" w:ascii="Times New Roman" w:hAnsi="Times New Roman" w:eastAsia="仿宋"/>
                <w:szCs w:val="22"/>
                <w:lang w:val="en-US" w:eastAsia="zh-CN"/>
              </w:rPr>
              <w:t>30</w:t>
            </w:r>
          </w:p>
        </w:tc>
        <w:tc>
          <w:tcPr>
            <w:tcW w:w="2102" w:type="dxa"/>
            <w:vAlign w:val="center"/>
          </w:tcPr>
          <w:p>
            <w:pPr>
              <w:spacing w:line="240" w:lineRule="auto"/>
              <w:jc w:val="center"/>
              <w:rPr>
                <w:rFonts w:ascii="仿宋" w:hAnsi="仿宋" w:eastAsia="仿宋"/>
                <w:szCs w:val="22"/>
              </w:rPr>
            </w:pPr>
            <w:r>
              <w:rPr>
                <w:rFonts w:hint="eastAsia" w:ascii="Times New Roman" w:hAnsi="Times New Roman" w:eastAsia="仿宋"/>
                <w:szCs w:val="22"/>
                <w:lang w:val="en-US" w:eastAsia="zh-CN"/>
              </w:rPr>
              <w:t>10</w:t>
            </w:r>
            <w:r>
              <w:rPr>
                <w:rFonts w:hint="eastAsia" w:ascii="Times New Roman" w:hAnsi="Times New Roman" w:eastAsia="仿宋"/>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010" w:type="dxa"/>
            <w:vAlign w:val="center"/>
          </w:tcPr>
          <w:p>
            <w:pPr>
              <w:spacing w:line="240" w:lineRule="auto"/>
              <w:jc w:val="center"/>
              <w:rPr>
                <w:rFonts w:ascii="仿宋" w:hAnsi="仿宋" w:eastAsia="仿宋"/>
                <w:szCs w:val="22"/>
              </w:rPr>
            </w:pPr>
            <w:r>
              <w:rPr>
                <w:rFonts w:hint="eastAsia" w:ascii="仿宋" w:hAnsi="仿宋" w:eastAsia="仿宋"/>
                <w:szCs w:val="22"/>
              </w:rPr>
              <w:t>效益</w:t>
            </w:r>
          </w:p>
        </w:tc>
        <w:tc>
          <w:tcPr>
            <w:tcW w:w="2010" w:type="dxa"/>
            <w:vAlign w:val="center"/>
          </w:tcPr>
          <w:p>
            <w:pPr>
              <w:spacing w:line="240" w:lineRule="auto"/>
              <w:jc w:val="center"/>
              <w:rPr>
                <w:rFonts w:ascii="仿宋" w:hAnsi="仿宋" w:eastAsia="仿宋"/>
                <w:szCs w:val="22"/>
              </w:rPr>
            </w:pPr>
            <w:r>
              <w:rPr>
                <w:rFonts w:hint="eastAsia" w:ascii="Times New Roman" w:hAnsi="Times New Roman" w:eastAsia="仿宋"/>
                <w:szCs w:val="22"/>
              </w:rPr>
              <w:t>30</w:t>
            </w:r>
          </w:p>
        </w:tc>
        <w:tc>
          <w:tcPr>
            <w:tcW w:w="2010" w:type="dxa"/>
            <w:vAlign w:val="center"/>
          </w:tcPr>
          <w:p>
            <w:pPr>
              <w:spacing w:line="240" w:lineRule="auto"/>
              <w:jc w:val="center"/>
              <w:textAlignment w:val="center"/>
              <w:rPr>
                <w:rFonts w:hint="default" w:ascii="仿宋" w:hAnsi="仿宋" w:eastAsia="仿宋" w:cs="仿宋_GB2312"/>
                <w:color w:val="000000"/>
                <w:lang w:val="en-US" w:eastAsia="zh-CN"/>
              </w:rPr>
            </w:pPr>
            <w:r>
              <w:rPr>
                <w:rFonts w:hint="eastAsia" w:ascii="Times New Roman" w:hAnsi="Times New Roman" w:eastAsia="仿宋" w:cs="仿宋_GB2312"/>
                <w:color w:val="000000"/>
              </w:rPr>
              <w:t>2</w:t>
            </w:r>
            <w:r>
              <w:rPr>
                <w:rFonts w:hint="eastAsia" w:ascii="Times New Roman" w:hAnsi="Times New Roman" w:eastAsia="仿宋" w:cs="仿宋_GB2312"/>
                <w:color w:val="000000"/>
                <w:lang w:val="en-US" w:eastAsia="zh-CN"/>
              </w:rPr>
              <w:t>0.85</w:t>
            </w:r>
          </w:p>
        </w:tc>
        <w:tc>
          <w:tcPr>
            <w:tcW w:w="2102" w:type="dxa"/>
            <w:vAlign w:val="center"/>
          </w:tcPr>
          <w:p>
            <w:pPr>
              <w:spacing w:line="240" w:lineRule="auto"/>
              <w:jc w:val="center"/>
              <w:textAlignment w:val="center"/>
              <w:rPr>
                <w:rFonts w:hint="default" w:ascii="仿宋" w:hAnsi="仿宋" w:eastAsia="仿宋" w:cs="仿宋_GB2312"/>
                <w:color w:val="000000"/>
                <w:lang w:val="en-US" w:eastAsia="zh-CN"/>
              </w:rPr>
            </w:pPr>
            <w:r>
              <w:rPr>
                <w:rFonts w:hint="eastAsia" w:ascii="Times New Roman" w:hAnsi="Times New Roman" w:eastAsia="仿宋" w:cs="仿宋_GB2312"/>
                <w:color w:val="000000"/>
                <w:lang w:val="en-US" w:eastAsia="zh-CN"/>
              </w:rPr>
              <w:t>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010" w:type="dxa"/>
            <w:vAlign w:val="center"/>
          </w:tcPr>
          <w:p>
            <w:pPr>
              <w:spacing w:line="240" w:lineRule="auto"/>
              <w:jc w:val="center"/>
              <w:rPr>
                <w:rFonts w:ascii="仿宋" w:hAnsi="仿宋" w:eastAsia="仿宋"/>
              </w:rPr>
            </w:pPr>
            <w:r>
              <w:rPr>
                <w:rFonts w:hint="eastAsia" w:ascii="仿宋" w:hAnsi="仿宋" w:eastAsia="仿宋"/>
              </w:rPr>
              <w:t>合计</w:t>
            </w:r>
          </w:p>
        </w:tc>
        <w:tc>
          <w:tcPr>
            <w:tcW w:w="2010" w:type="dxa"/>
            <w:vAlign w:val="center"/>
          </w:tcPr>
          <w:p>
            <w:pPr>
              <w:spacing w:line="240" w:lineRule="auto"/>
              <w:jc w:val="center"/>
              <w:rPr>
                <w:rFonts w:ascii="仿宋" w:hAnsi="仿宋" w:eastAsia="仿宋"/>
              </w:rPr>
            </w:pPr>
            <w:r>
              <w:rPr>
                <w:rFonts w:hint="eastAsia" w:ascii="Times New Roman" w:hAnsi="Times New Roman" w:eastAsia="仿宋"/>
              </w:rPr>
              <w:t>100</w:t>
            </w:r>
          </w:p>
        </w:tc>
        <w:tc>
          <w:tcPr>
            <w:tcW w:w="2010" w:type="dxa"/>
            <w:vAlign w:val="center"/>
          </w:tcPr>
          <w:p>
            <w:pPr>
              <w:spacing w:line="240" w:lineRule="auto"/>
              <w:jc w:val="center"/>
              <w:rPr>
                <w:rFonts w:hint="default" w:ascii="仿宋" w:hAnsi="仿宋" w:eastAsia="仿宋"/>
                <w:lang w:val="en-US" w:eastAsia="zh-CN"/>
              </w:rPr>
            </w:pPr>
            <w:r>
              <w:rPr>
                <w:rFonts w:hint="eastAsia" w:ascii="Times New Roman" w:hAnsi="Times New Roman" w:eastAsia="仿宋"/>
              </w:rPr>
              <w:t>8</w:t>
            </w:r>
            <w:r>
              <w:rPr>
                <w:rFonts w:hint="eastAsia" w:ascii="Times New Roman" w:hAnsi="Times New Roman" w:eastAsia="仿宋"/>
                <w:lang w:val="en-US" w:eastAsia="zh-CN"/>
              </w:rPr>
              <w:t>7.51</w:t>
            </w:r>
          </w:p>
        </w:tc>
        <w:tc>
          <w:tcPr>
            <w:tcW w:w="2102" w:type="dxa"/>
            <w:vAlign w:val="center"/>
          </w:tcPr>
          <w:p>
            <w:pPr>
              <w:spacing w:line="240" w:lineRule="auto"/>
              <w:jc w:val="center"/>
              <w:rPr>
                <w:rFonts w:ascii="仿宋" w:hAnsi="仿宋" w:eastAsia="仿宋"/>
              </w:rPr>
            </w:pPr>
            <w:r>
              <w:rPr>
                <w:rFonts w:hint="eastAsia" w:ascii="Times New Roman" w:hAnsi="Times New Roman" w:eastAsia="仿宋"/>
              </w:rPr>
              <w:t>8</w:t>
            </w:r>
            <w:r>
              <w:rPr>
                <w:rFonts w:hint="eastAsia" w:ascii="Times New Roman" w:hAnsi="Times New Roman" w:eastAsia="仿宋"/>
                <w:lang w:val="en-US" w:eastAsia="zh-CN"/>
              </w:rPr>
              <w:t>7.51</w:t>
            </w:r>
          </w:p>
        </w:tc>
      </w:tr>
    </w:tbl>
    <w:p>
      <w:pPr>
        <w:spacing w:before="100" w:beforeAutospacing="1"/>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Times New Roman" w:hAnsi="Times New Roman" w:eastAsia="仿宋_GB2312" w:cs="仿宋_GB2312"/>
          <w:sz w:val="32"/>
          <w:szCs w:val="32"/>
          <w:highlight w:val="none"/>
        </w:rPr>
        <w:t>2</w:t>
      </w:r>
      <w:r>
        <w:rPr>
          <w:rFonts w:hint="eastAsia" w:ascii="仿宋_GB2312" w:hAnsi="仿宋_GB2312" w:eastAsia="仿宋_GB2312" w:cs="仿宋_GB2312"/>
          <w:sz w:val="32"/>
          <w:szCs w:val="32"/>
          <w:highlight w:val="none"/>
        </w:rPr>
        <w:t>）项目总体评价结论。</w:t>
      </w:r>
      <w:r>
        <w:rPr>
          <w:rFonts w:hint="eastAsia" w:ascii="Times New Roman" w:hAnsi="Times New Roman" w:eastAsia="仿宋_GB2312" w:cs="仿宋_GB2312"/>
          <w:sz w:val="32"/>
          <w:szCs w:val="32"/>
          <w:highlight w:val="none"/>
        </w:rPr>
        <w:t>2019年平陆县圣人涧镇营村村一组至二组道路建设工程项目</w:t>
      </w:r>
      <w:r>
        <w:rPr>
          <w:rFonts w:hint="eastAsia" w:ascii="仿宋_GB2312" w:hAnsi="仿宋" w:eastAsia="仿宋_GB2312" w:cs="仿宋"/>
          <w:sz w:val="32"/>
          <w:szCs w:val="32"/>
          <w:highlight w:val="none"/>
        </w:rPr>
        <w:t>立项依据充分，</w:t>
      </w:r>
      <w:r>
        <w:rPr>
          <w:rFonts w:hint="eastAsia" w:ascii="仿宋_GB2312" w:hAnsi="仿宋_GB2312" w:eastAsia="仿宋_GB2312" w:cs="仿宋_GB2312"/>
          <w:sz w:val="32"/>
          <w:szCs w:val="32"/>
          <w:highlight w:val="none"/>
        </w:rPr>
        <w:t>程序规范，预算编制、资金分配合理，项目成效明显，基本实现了项目总体目标。但在</w:t>
      </w:r>
      <w:r>
        <w:rPr>
          <w:rFonts w:hint="eastAsia" w:ascii="仿宋_GB2312" w:hAnsi="仿宋_GB2312" w:eastAsia="仿宋_GB2312" w:cs="仿宋_GB2312"/>
          <w:sz w:val="32"/>
          <w:szCs w:val="32"/>
          <w:highlight w:val="none"/>
          <w:lang w:val="en-US" w:eastAsia="zh-CN"/>
        </w:rPr>
        <w:t>项目后期维护管护</w:t>
      </w:r>
      <w:r>
        <w:rPr>
          <w:rFonts w:hint="eastAsia" w:ascii="仿宋_GB2312" w:hAnsi="仿宋_GB2312" w:eastAsia="仿宋_GB2312" w:cs="仿宋_GB2312"/>
          <w:sz w:val="32"/>
          <w:szCs w:val="32"/>
          <w:highlight w:val="none"/>
        </w:rPr>
        <w:t>等方面存在欠缺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需在以后的工作中加以改进</w:t>
      </w:r>
      <w:r>
        <w:rPr>
          <w:rFonts w:hint="eastAsia" w:ascii="仿宋_GB2312" w:hAnsi="仿宋_GB2312" w:eastAsia="仿宋_GB2312" w:cs="仿宋_GB2312"/>
          <w:sz w:val="32"/>
          <w:szCs w:val="32"/>
          <w:highlight w:val="none"/>
        </w:rPr>
        <w:t>。</w:t>
      </w:r>
    </w:p>
    <w:p>
      <w:pPr>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项目决策方面：项目立项依据充分、资料齐全，</w:t>
      </w:r>
      <w:r>
        <w:rPr>
          <w:rFonts w:hint="eastAsia" w:ascii="仿宋_GB2312" w:hAnsi="仿宋" w:eastAsia="仿宋_GB2312" w:cs="仿宋"/>
          <w:sz w:val="32"/>
          <w:szCs w:val="32"/>
          <w:highlight w:val="none"/>
          <w:lang w:val="en-US" w:eastAsia="zh-CN"/>
        </w:rPr>
        <w:t>绩效目标合理、绩效指标清晰、细化、可衡量，</w:t>
      </w:r>
      <w:r>
        <w:rPr>
          <w:rFonts w:hint="eastAsia" w:ascii="仿宋_GB2312" w:hAnsi="仿宋" w:eastAsia="仿宋_GB2312" w:cs="仿宋"/>
          <w:sz w:val="32"/>
          <w:szCs w:val="32"/>
          <w:highlight w:val="none"/>
        </w:rPr>
        <w:t>预算编制较为科学，资金分配合理</w:t>
      </w:r>
      <w:r>
        <w:rPr>
          <w:rFonts w:hint="eastAsia" w:ascii="仿宋_GB2312" w:eastAsia="仿宋_GB2312" w:cs="仿宋_GB2312" w:hAnsiTheme="minorHAnsi"/>
          <w:sz w:val="32"/>
          <w:szCs w:val="32"/>
          <w:highlight w:val="none"/>
        </w:rPr>
        <w:t>。</w:t>
      </w:r>
    </w:p>
    <w:p>
      <w:pPr>
        <w:widowControl w:val="0"/>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项目过程方面：项目资金到位率高，资金使用合规，有完整的审批、拨付手续；财务管理制度</w:t>
      </w:r>
      <w:r>
        <w:rPr>
          <w:rFonts w:hint="eastAsia" w:ascii="仿宋_GB2312" w:hAnsi="仿宋" w:eastAsia="仿宋_GB2312" w:cs="仿宋"/>
          <w:sz w:val="32"/>
          <w:szCs w:val="32"/>
          <w:lang w:val="en-US" w:eastAsia="zh-CN"/>
        </w:rPr>
        <w:t>和资金管理制度</w:t>
      </w:r>
      <w:r>
        <w:rPr>
          <w:rFonts w:hint="eastAsia" w:ascii="仿宋_GB2312" w:hAnsi="仿宋" w:eastAsia="仿宋_GB2312" w:cs="仿宋"/>
          <w:sz w:val="32"/>
          <w:szCs w:val="32"/>
          <w:highlight w:val="none"/>
        </w:rPr>
        <w:t>健全。</w:t>
      </w:r>
      <w:r>
        <w:rPr>
          <w:rFonts w:hint="eastAsia" w:ascii="仿宋_GB2312" w:hAnsi="仿宋" w:eastAsia="仿宋_GB2312" w:cs="仿宋"/>
          <w:sz w:val="32"/>
          <w:szCs w:val="32"/>
        </w:rPr>
        <w:t>项目实施单位在项目实施过程中，</w:t>
      </w:r>
      <w:r>
        <w:rPr>
          <w:rFonts w:hint="eastAsia" w:ascii="仿宋_GB2312" w:hAnsi="仿宋" w:eastAsia="仿宋_GB2312" w:cs="仿宋"/>
          <w:sz w:val="32"/>
          <w:szCs w:val="32"/>
          <w:lang w:val="en-US" w:eastAsia="zh-CN"/>
        </w:rPr>
        <w:t>制定了项目监理制度、项目合同管理制度、项目绩效评价制度、项目公告公示制度、项目管理法人制度、项目招标投标制度和安全生产责任制等相关业务管理制度，但</w:t>
      </w:r>
      <w:r>
        <w:rPr>
          <w:rFonts w:hint="eastAsia" w:ascii="仿宋_GB2312" w:hAnsi="仿宋" w:eastAsia="仿宋_GB2312" w:cs="仿宋"/>
          <w:sz w:val="32"/>
          <w:szCs w:val="32"/>
        </w:rPr>
        <w:t>未制定后期运维管理制度，</w:t>
      </w:r>
      <w:r>
        <w:rPr>
          <w:rFonts w:hint="eastAsia" w:ascii="仿宋_GB2312" w:hAnsi="仿宋" w:eastAsia="仿宋_GB2312" w:cs="仿宋"/>
          <w:sz w:val="32"/>
          <w:szCs w:val="32"/>
          <w:highlight w:val="none"/>
        </w:rPr>
        <w:t>其执行有效性无法判断。</w:t>
      </w:r>
    </w:p>
    <w:p>
      <w:pPr>
        <w:widowControl w:val="0"/>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项目产出方面：项目</w:t>
      </w:r>
      <w:r>
        <w:rPr>
          <w:rFonts w:hint="eastAsia" w:ascii="仿宋_GB2312" w:hAnsi="仿宋" w:eastAsia="仿宋_GB2312" w:cs="仿宋"/>
          <w:sz w:val="32"/>
          <w:szCs w:val="32"/>
          <w:highlight w:val="none"/>
          <w:lang w:val="en-US" w:eastAsia="zh-CN"/>
        </w:rPr>
        <w:t>按照</w:t>
      </w:r>
      <w:r>
        <w:rPr>
          <w:rFonts w:hint="eastAsia" w:ascii="仿宋_GB2312" w:hAnsi="仿宋" w:eastAsia="仿宋_GB2312" w:cs="仿宋"/>
          <w:sz w:val="32"/>
          <w:szCs w:val="32"/>
          <w:highlight w:val="none"/>
        </w:rPr>
        <w:t>计划目标进行实施，项目质量验收合格且经过竣工结算审核，质量得到有效保障，</w:t>
      </w:r>
      <w:r>
        <w:rPr>
          <w:rFonts w:hint="eastAsia" w:ascii="仿宋_GB2312" w:hAnsi="仿宋" w:eastAsia="仿宋_GB2312" w:cs="仿宋"/>
          <w:sz w:val="32"/>
          <w:szCs w:val="32"/>
          <w:highlight w:val="none"/>
          <w:lang w:val="en-US" w:eastAsia="zh-CN"/>
        </w:rPr>
        <w:t>工程按照合同约定时间完工，</w:t>
      </w:r>
      <w:r>
        <w:rPr>
          <w:rFonts w:hint="eastAsia" w:ascii="仿宋_GB2312" w:hAnsi="仿宋" w:eastAsia="仿宋_GB2312" w:cs="仿宋"/>
          <w:sz w:val="32"/>
          <w:szCs w:val="32"/>
          <w:highlight w:val="none"/>
        </w:rPr>
        <w:t>成本控制较好，不超过计划成本。</w:t>
      </w:r>
    </w:p>
    <w:p>
      <w:pPr>
        <w:widowControl w:val="0"/>
        <w:ind w:firstLine="640" w:firstLineChars="200"/>
        <w:rPr>
          <w:rFonts w:ascii="仿宋" w:hAnsi="仿宋" w:eastAsia="仿宋_GB2312" w:cs="仿宋"/>
          <w:sz w:val="32"/>
          <w:szCs w:val="32"/>
        </w:rPr>
      </w:pPr>
      <w:r>
        <w:rPr>
          <w:rFonts w:hint="eastAsia" w:ascii="仿宋_GB2312" w:hAnsi="仿宋" w:eastAsia="仿宋_GB2312" w:cs="仿宋"/>
          <w:sz w:val="32"/>
          <w:szCs w:val="32"/>
          <w:highlight w:val="none"/>
        </w:rPr>
        <w:t>项目效益方面：通过项目实施，</w:t>
      </w:r>
      <w:r>
        <w:rPr>
          <w:rFonts w:hint="eastAsia" w:ascii="仿宋_GB2312" w:hAnsi="仿宋_GB2312" w:eastAsia="仿宋_GB2312" w:cs="仿宋_GB2312"/>
          <w:sz w:val="32"/>
          <w:szCs w:val="32"/>
          <w:lang w:val="en-US" w:eastAsia="zh-CN"/>
        </w:rPr>
        <w:t>当地居民出行时间有了显著缩短，有效的降低了当地居民出行的时间成本和经济成本；解决了</w:t>
      </w:r>
      <w:r>
        <w:rPr>
          <w:rFonts w:hint="eastAsia" w:ascii="Times New Roman" w:hAnsi="Times New Roman" w:eastAsia="仿宋_GB2312" w:cs="仿宋_GB2312"/>
          <w:sz w:val="32"/>
          <w:szCs w:val="32"/>
          <w:lang w:val="en-US" w:eastAsia="zh-CN"/>
        </w:rPr>
        <w:t>200</w:t>
      </w:r>
      <w:r>
        <w:rPr>
          <w:rFonts w:hint="eastAsia" w:ascii="仿宋_GB2312" w:hAnsi="仿宋_GB2312" w:eastAsia="仿宋_GB2312" w:cs="仿宋_GB2312"/>
          <w:sz w:val="32"/>
          <w:szCs w:val="32"/>
          <w:lang w:val="en-US" w:eastAsia="zh-CN"/>
        </w:rPr>
        <w:t>余村民出行难的问题；</w:t>
      </w:r>
      <w:r>
        <w:rPr>
          <w:rFonts w:hint="eastAsia" w:ascii="仿宋_GB2312" w:hAnsi="仿宋" w:eastAsia="仿宋_GB2312" w:cs="仿宋"/>
          <w:sz w:val="32"/>
          <w:szCs w:val="32"/>
          <w:highlight w:val="none"/>
          <w:lang w:val="en-US" w:eastAsia="zh-CN"/>
        </w:rPr>
        <w:t>一定程度</w:t>
      </w:r>
      <w:r>
        <w:rPr>
          <w:rFonts w:hint="eastAsia" w:ascii="仿宋_GB2312" w:hAnsi="仿宋_GB2312" w:eastAsia="仿宋_GB2312" w:cs="仿宋_GB2312"/>
          <w:sz w:val="32"/>
          <w:szCs w:val="32"/>
          <w:lang w:val="en-US" w:eastAsia="zh-CN"/>
        </w:rPr>
        <w:t>改善了</w:t>
      </w:r>
      <w:r>
        <w:rPr>
          <w:rFonts w:hint="eastAsia" w:ascii="仿宋_GB2312" w:hAnsi="仿宋_GB2312" w:eastAsia="仿宋_GB2312" w:cs="仿宋_GB2312"/>
          <w:sz w:val="32"/>
          <w:szCs w:val="32"/>
        </w:rPr>
        <w:t>农民生产生活条件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贫困人口满意度</w:t>
      </w:r>
      <w:r>
        <w:rPr>
          <w:rFonts w:hint="eastAsia" w:ascii="Times New Roman" w:hAnsi="Times New Roman" w:eastAsia="仿宋_GB2312" w:cs="仿宋_GB2312"/>
          <w:sz w:val="32"/>
          <w:szCs w:val="32"/>
          <w:lang w:val="en-US" w:eastAsia="zh-CN"/>
        </w:rPr>
        <w:t>85.67</w:t>
      </w:r>
      <w:r>
        <w:rPr>
          <w:rFonts w:hint="eastAsia" w:ascii="仿宋_GB2312" w:hAnsi="仿宋_GB2312" w:eastAsia="仿宋_GB2312" w:cs="仿宋_GB2312"/>
          <w:sz w:val="32"/>
          <w:szCs w:val="32"/>
          <w:lang w:val="en-US" w:eastAsia="zh-CN"/>
        </w:rPr>
        <w:t>%</w:t>
      </w:r>
      <w:r>
        <w:rPr>
          <w:rFonts w:hint="eastAsia" w:ascii="仿宋_GB2312" w:hAnsi="仿宋" w:eastAsia="仿宋_GB2312" w:cs="仿宋"/>
          <w:sz w:val="32"/>
          <w:szCs w:val="32"/>
          <w:highlight w:val="none"/>
        </w:rPr>
        <w:t>。</w:t>
      </w:r>
      <w:r>
        <w:rPr>
          <w:rFonts w:hint="eastAsia" w:ascii="仿宋" w:hAnsi="仿宋" w:eastAsia="仿宋_GB2312" w:cs="仿宋"/>
          <w:sz w:val="32"/>
          <w:szCs w:val="32"/>
        </w:rPr>
        <w:t xml:space="preserve"> </w:t>
      </w:r>
    </w:p>
    <w:p>
      <w:pPr>
        <w:pStyle w:val="3"/>
        <w:widowControl w:val="0"/>
        <w:spacing w:line="360" w:lineRule="auto"/>
        <w:ind w:firstLine="640" w:firstLineChars="200"/>
        <w:rPr>
          <w:kern w:val="2"/>
        </w:rPr>
      </w:pPr>
      <w:bookmarkStart w:id="72" w:name="_Toc23775"/>
      <w:r>
        <w:rPr>
          <w:rFonts w:hint="eastAsia"/>
          <w:kern w:val="2"/>
        </w:rPr>
        <w:t>五、项目主要绩效</w:t>
      </w:r>
      <w:bookmarkEnd w:id="72"/>
    </w:p>
    <w:p>
      <w:pPr>
        <w:widowControl w:val="0"/>
        <w:ind w:firstLine="640" w:firstLineChars="200"/>
        <w:rPr>
          <w:rFonts w:eastAsia="仿宋_GB2312" w:cs="仿宋_GB2312"/>
          <w:sz w:val="32"/>
          <w:szCs w:val="32"/>
          <w:highlight w:val="yellow"/>
        </w:rPr>
      </w:pPr>
      <w:r>
        <w:rPr>
          <w:rFonts w:hint="eastAsia" w:ascii="楷体_GB2312" w:eastAsia="楷体_GB2312"/>
          <w:sz w:val="32"/>
          <w:szCs w:val="32"/>
        </w:rPr>
        <w:t>（一）产出成效明显。</w:t>
      </w:r>
      <w:r>
        <w:rPr>
          <w:rFonts w:hint="eastAsia" w:ascii="仿宋_GB2312" w:hAnsi="仿宋" w:eastAsia="仿宋_GB2312" w:cs="仿宋"/>
          <w:sz w:val="32"/>
          <w:szCs w:val="32"/>
          <w:lang w:val="en-US" w:eastAsia="zh-CN"/>
        </w:rPr>
        <w:t>2019年平陆县圣人涧镇营村村一组至二组道路建设工程项目申报目标道路硬化总长度</w:t>
      </w:r>
      <w:r>
        <w:rPr>
          <w:rFonts w:hint="eastAsia" w:ascii="Times New Roman" w:hAnsi="Times New Roman" w:eastAsia="仿宋_GB2312" w:cs="仿宋_GB2312"/>
          <w:sz w:val="32"/>
          <w:szCs w:val="32"/>
        </w:rPr>
        <w:t>4.5</w:t>
      </w:r>
      <w:r>
        <w:rPr>
          <w:rFonts w:hint="eastAsia" w:ascii="仿宋_GB2312" w:hAnsi="仿宋_GB2312" w:eastAsia="仿宋_GB2312" w:cs="仿宋_GB2312"/>
          <w:sz w:val="32"/>
          <w:szCs w:val="32"/>
        </w:rPr>
        <w:t>公里</w:t>
      </w:r>
      <w:r>
        <w:rPr>
          <w:rFonts w:hint="eastAsia" w:ascii="仿宋_GB2312" w:hAnsi="仿宋_GB2312" w:eastAsia="仿宋_GB2312" w:cs="仿宋_GB2312"/>
          <w:sz w:val="32"/>
          <w:szCs w:val="32"/>
          <w:lang w:val="en-US" w:eastAsia="zh-CN"/>
        </w:rPr>
        <w:t>列入计划，</w:t>
      </w:r>
      <w:r>
        <w:rPr>
          <w:rFonts w:hint="eastAsia" w:ascii="仿宋_GB2312" w:hAnsi="仿宋" w:eastAsia="仿宋_GB2312" w:cs="仿宋"/>
          <w:sz w:val="32"/>
          <w:szCs w:val="32"/>
          <w:lang w:val="en-US" w:eastAsia="zh-CN"/>
        </w:rPr>
        <w:t>招标时根据实际地势情况进行路线优化，</w:t>
      </w:r>
      <w:r>
        <w:rPr>
          <w:rFonts w:hint="eastAsia" w:ascii="仿宋_GB2312" w:hAnsi="仿宋_GB2312" w:eastAsia="仿宋_GB2312" w:cs="仿宋_GB2312"/>
          <w:sz w:val="32"/>
          <w:szCs w:val="32"/>
          <w:lang w:val="en-US" w:eastAsia="zh-CN"/>
        </w:rPr>
        <w:t>合同实际签订工程量</w:t>
      </w:r>
      <w:r>
        <w:rPr>
          <w:rFonts w:hint="eastAsia" w:ascii="Times New Roman" w:hAnsi="Times New Roman" w:eastAsia="仿宋_GB2312" w:cs="仿宋_GB2312"/>
          <w:sz w:val="32"/>
          <w:szCs w:val="32"/>
          <w:lang w:val="en-US" w:eastAsia="zh-CN"/>
        </w:rPr>
        <w:t>3.94</w:t>
      </w:r>
      <w:r>
        <w:rPr>
          <w:rFonts w:hint="eastAsia" w:ascii="仿宋_GB2312" w:hAnsi="仿宋_GB2312" w:eastAsia="仿宋_GB2312" w:cs="仿宋_GB2312"/>
          <w:sz w:val="32"/>
          <w:szCs w:val="32"/>
        </w:rPr>
        <w:t>公里</w:t>
      </w:r>
      <w:r>
        <w:rPr>
          <w:rFonts w:hint="eastAsia" w:ascii="仿宋_GB2312" w:hAnsi="仿宋_GB2312" w:eastAsia="仿宋_GB2312" w:cs="仿宋_GB2312"/>
          <w:sz w:val="32"/>
          <w:szCs w:val="32"/>
          <w:lang w:eastAsia="zh-CN"/>
        </w:rPr>
        <w:t>，</w:t>
      </w:r>
      <w:r>
        <w:rPr>
          <w:rFonts w:hint="eastAsia" w:ascii="仿宋_GB2312" w:hAnsi="仿宋" w:eastAsia="仿宋_GB2312" w:cs="仿宋"/>
          <w:sz w:val="32"/>
          <w:szCs w:val="32"/>
        </w:rPr>
        <w:t>实际完成</w:t>
      </w:r>
      <w:r>
        <w:rPr>
          <w:rFonts w:hint="eastAsia" w:ascii="仿宋_GB2312" w:hAnsi="仿宋_GB2312" w:eastAsia="仿宋_GB2312" w:cs="仿宋_GB2312"/>
          <w:sz w:val="32"/>
          <w:szCs w:val="32"/>
        </w:rPr>
        <w:t>硬化道路</w:t>
      </w:r>
      <w:r>
        <w:rPr>
          <w:rFonts w:hint="eastAsia" w:ascii="Times New Roman" w:hAnsi="Times New Roman" w:eastAsia="仿宋_GB2312" w:cs="仿宋_GB2312"/>
          <w:sz w:val="32"/>
          <w:szCs w:val="32"/>
          <w:lang w:val="en-US" w:eastAsia="zh-CN"/>
        </w:rPr>
        <w:t>3.94</w:t>
      </w:r>
      <w:r>
        <w:rPr>
          <w:rFonts w:hint="eastAsia" w:ascii="仿宋_GB2312" w:hAnsi="仿宋_GB2312" w:eastAsia="仿宋_GB2312" w:cs="仿宋_GB2312"/>
          <w:sz w:val="32"/>
          <w:szCs w:val="32"/>
        </w:rPr>
        <w:t>公里</w:t>
      </w:r>
      <w:r>
        <w:rPr>
          <w:rFonts w:hint="eastAsia" w:ascii="仿宋_GB2312" w:hAnsi="仿宋" w:eastAsia="仿宋_GB2312" w:cs="仿宋"/>
          <w:sz w:val="32"/>
          <w:szCs w:val="32"/>
          <w:lang w:eastAsia="zh-CN"/>
        </w:rPr>
        <w:t>，</w:t>
      </w:r>
      <w:r>
        <w:rPr>
          <w:rFonts w:hint="eastAsia" w:ascii="仿宋_GB2312" w:hAnsi="仿宋" w:eastAsia="仿宋_GB2312"/>
          <w:sz w:val="32"/>
          <w:szCs w:val="32"/>
          <w:lang w:val="en-US" w:eastAsia="zh-CN"/>
        </w:rPr>
        <w:t>工程建设</w:t>
      </w:r>
      <w:r>
        <w:rPr>
          <w:rFonts w:hint="eastAsia" w:ascii="仿宋_GB2312" w:hAnsi="仿宋" w:eastAsia="仿宋_GB2312"/>
          <w:sz w:val="32"/>
          <w:szCs w:val="32"/>
        </w:rPr>
        <w:t>完成率</w:t>
      </w:r>
      <w:r>
        <w:rPr>
          <w:rFonts w:hint="eastAsia" w:ascii="Times New Roman" w:hAnsi="Times New Roman" w:eastAsia="仿宋" w:cs="仿宋"/>
          <w:sz w:val="32"/>
          <w:szCs w:val="32"/>
        </w:rPr>
        <w:t>1</w:t>
      </w:r>
      <w:r>
        <w:rPr>
          <w:rFonts w:ascii="Times New Roman" w:hAnsi="Times New Roman" w:eastAsia="仿宋" w:cs="仿宋"/>
          <w:sz w:val="32"/>
          <w:szCs w:val="32"/>
        </w:rPr>
        <w:t>00</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仿宋" w:eastAsia="仿宋_GB2312"/>
          <w:sz w:val="32"/>
          <w:szCs w:val="32"/>
        </w:rPr>
        <w:t>工程验收合格率达到</w:t>
      </w:r>
      <w:r>
        <w:rPr>
          <w:rFonts w:hint="eastAsia" w:ascii="Times New Roman" w:hAnsi="Times New Roman" w:eastAsia="仿宋" w:cs="仿宋"/>
          <w:sz w:val="32"/>
          <w:szCs w:val="32"/>
        </w:rPr>
        <w:t>100</w:t>
      </w:r>
      <w:r>
        <w:rPr>
          <w:rFonts w:hint="eastAsia" w:ascii="仿宋_GB2312" w:hAnsi="仿宋" w:eastAsia="仿宋_GB2312"/>
          <w:sz w:val="32"/>
          <w:szCs w:val="32"/>
        </w:rPr>
        <w:t>%；</w:t>
      </w:r>
      <w:r>
        <w:rPr>
          <w:rFonts w:hint="eastAsia" w:ascii="仿宋_GB2312" w:hAnsi="仿宋" w:eastAsia="仿宋_GB2312" w:cs="仿宋"/>
          <w:sz w:val="32"/>
          <w:szCs w:val="32"/>
          <w:lang w:val="en-US" w:eastAsia="zh-CN"/>
        </w:rPr>
        <w:t>项目申报目标</w:t>
      </w:r>
      <w:r>
        <w:rPr>
          <w:rFonts w:hint="eastAsia" w:ascii="Times New Roman" w:hAnsi="Times New Roman" w:eastAsia="仿宋_GB2312" w:cs="仿宋"/>
          <w:sz w:val="32"/>
          <w:szCs w:val="32"/>
          <w:lang w:val="en-US" w:eastAsia="zh-CN"/>
        </w:rPr>
        <w:t>31.1</w:t>
      </w:r>
      <w:r>
        <w:rPr>
          <w:rFonts w:hint="eastAsia" w:ascii="仿宋_GB2312" w:hAnsi="仿宋" w:eastAsia="仿宋_GB2312" w:cs="仿宋"/>
          <w:sz w:val="32"/>
          <w:szCs w:val="32"/>
          <w:lang w:val="en-US" w:eastAsia="zh-CN"/>
        </w:rPr>
        <w:t>万元/公里、总长度</w:t>
      </w:r>
      <w:r>
        <w:rPr>
          <w:rFonts w:hint="eastAsia" w:ascii="Times New Roman" w:hAnsi="Times New Roman" w:eastAsia="仿宋_GB2312" w:cs="仿宋"/>
          <w:sz w:val="32"/>
          <w:szCs w:val="32"/>
          <w:lang w:val="en-US" w:eastAsia="zh-CN"/>
        </w:rPr>
        <w:t>4.5公里列入计划，招标时根据实际地势情况进行路线优化，招</w:t>
      </w:r>
      <w:r>
        <w:rPr>
          <w:rFonts w:hint="eastAsia" w:ascii="仿宋_GB2312" w:hAnsi="仿宋" w:eastAsia="仿宋_GB2312" w:cs="仿宋"/>
          <w:sz w:val="32"/>
          <w:szCs w:val="32"/>
          <w:lang w:val="en-US" w:eastAsia="zh-CN"/>
        </w:rPr>
        <w:t>标里程为</w:t>
      </w:r>
      <w:r>
        <w:rPr>
          <w:rFonts w:hint="eastAsia" w:ascii="Times New Roman" w:hAnsi="Times New Roman" w:eastAsia="仿宋_GB2312" w:cs="仿宋"/>
          <w:sz w:val="32"/>
          <w:szCs w:val="32"/>
          <w:lang w:val="en-US" w:eastAsia="zh-CN"/>
        </w:rPr>
        <w:t>3.94</w:t>
      </w:r>
      <w:r>
        <w:rPr>
          <w:rFonts w:hint="eastAsia" w:ascii="仿宋_GB2312" w:hAnsi="仿宋" w:eastAsia="仿宋_GB2312" w:cs="仿宋"/>
          <w:sz w:val="32"/>
          <w:szCs w:val="32"/>
          <w:lang w:val="en-US" w:eastAsia="zh-CN"/>
        </w:rPr>
        <w:t>公里，增加两边路肩宽各</w:t>
      </w:r>
      <w:r>
        <w:rPr>
          <w:rFonts w:hint="eastAsia" w:ascii="Times New Roman" w:hAnsi="Times New Roman" w:eastAsia="仿宋_GB2312" w:cs="仿宋"/>
          <w:sz w:val="32"/>
          <w:szCs w:val="32"/>
          <w:lang w:val="en-US" w:eastAsia="zh-CN"/>
        </w:rPr>
        <w:t>0.5</w:t>
      </w:r>
      <w:r>
        <w:rPr>
          <w:rFonts w:hint="eastAsia" w:ascii="仿宋_GB2312" w:hAnsi="仿宋" w:eastAsia="仿宋_GB2312" w:cs="仿宋"/>
          <w:sz w:val="32"/>
          <w:szCs w:val="32"/>
          <w:lang w:val="en-US" w:eastAsia="zh-CN"/>
        </w:rPr>
        <w:t>米而导致投资为</w:t>
      </w:r>
      <w:r>
        <w:rPr>
          <w:rFonts w:hint="eastAsia" w:ascii="Times New Roman" w:hAnsi="Times New Roman" w:eastAsia="仿宋_GB2312" w:cs="仿宋"/>
          <w:sz w:val="32"/>
          <w:szCs w:val="32"/>
          <w:lang w:val="en-US" w:eastAsia="zh-CN"/>
        </w:rPr>
        <w:t>33.53</w:t>
      </w:r>
      <w:r>
        <w:rPr>
          <w:rFonts w:hint="eastAsia" w:ascii="仿宋_GB2312" w:hAnsi="仿宋" w:eastAsia="仿宋_GB2312" w:cs="仿宋"/>
          <w:sz w:val="32"/>
          <w:szCs w:val="32"/>
          <w:lang w:val="en-US" w:eastAsia="zh-CN"/>
        </w:rPr>
        <w:t>万元/公里，投资额没有超计划资金；</w:t>
      </w:r>
      <w:r>
        <w:rPr>
          <w:rFonts w:hint="eastAsia" w:ascii="仿宋_GB2312" w:hAnsi="仿宋" w:eastAsia="仿宋_GB2312"/>
          <w:sz w:val="32"/>
          <w:szCs w:val="32"/>
        </w:rPr>
        <w:t>建设成本</w:t>
      </w:r>
      <w:r>
        <w:rPr>
          <w:rFonts w:hint="eastAsia" w:ascii="Times New Roman" w:hAnsi="Times New Roman" w:eastAsia="仿宋" w:cs="仿宋"/>
          <w:sz w:val="32"/>
          <w:szCs w:val="32"/>
        </w:rPr>
        <w:t>节约</w:t>
      </w:r>
      <w:r>
        <w:rPr>
          <w:rFonts w:hint="eastAsia" w:ascii="仿宋_GB2312" w:hAnsi="仿宋" w:eastAsia="仿宋_GB2312"/>
          <w:sz w:val="32"/>
          <w:szCs w:val="32"/>
        </w:rPr>
        <w:t>率控制在合理的范围内。</w:t>
      </w:r>
    </w:p>
    <w:p>
      <w:pPr>
        <w:widowControl w:val="0"/>
        <w:ind w:firstLine="640" w:firstLineChars="200"/>
        <w:rPr>
          <w:rFonts w:ascii="楷体_GB2312" w:eastAsia="楷体_GB2312"/>
          <w:sz w:val="32"/>
          <w:szCs w:val="32"/>
        </w:rPr>
      </w:pPr>
      <w:r>
        <w:rPr>
          <w:rFonts w:hint="eastAsia" w:ascii="楷体_GB2312" w:eastAsia="楷体_GB2312"/>
          <w:sz w:val="32"/>
          <w:szCs w:val="32"/>
        </w:rPr>
        <w:t>（二）</w:t>
      </w:r>
      <w:r>
        <w:rPr>
          <w:rFonts w:hint="eastAsia" w:ascii="楷体_GB2312" w:eastAsia="楷体_GB2312"/>
          <w:sz w:val="32"/>
          <w:szCs w:val="32"/>
          <w:lang w:val="en-US" w:eastAsia="zh-CN"/>
        </w:rPr>
        <w:t>社会</w:t>
      </w:r>
      <w:r>
        <w:rPr>
          <w:rFonts w:hint="eastAsia" w:ascii="楷体_GB2312" w:eastAsia="楷体_GB2312"/>
          <w:sz w:val="32"/>
          <w:szCs w:val="32"/>
        </w:rPr>
        <w:t>效益良好。</w:t>
      </w:r>
      <w:r>
        <w:rPr>
          <w:rFonts w:hint="eastAsia" w:ascii="仿宋_GB2312" w:hAnsi="楷体" w:eastAsia="仿宋_GB2312"/>
          <w:sz w:val="32"/>
          <w:szCs w:val="32"/>
          <w:lang w:val="en-US" w:eastAsia="zh-CN"/>
        </w:rPr>
        <w:t>通过</w:t>
      </w:r>
      <w:r>
        <w:rPr>
          <w:rFonts w:hint="eastAsia" w:ascii="仿宋_GB2312" w:hAnsi="楷体" w:eastAsia="仿宋_GB2312"/>
          <w:sz w:val="32"/>
          <w:szCs w:val="32"/>
        </w:rPr>
        <w:t>项目的实施，</w:t>
      </w:r>
      <w:r>
        <w:rPr>
          <w:rFonts w:hint="eastAsia" w:ascii="仿宋_GB2312" w:hAnsi="楷体" w:eastAsia="仿宋_GB2312"/>
          <w:sz w:val="32"/>
          <w:szCs w:val="32"/>
          <w:lang w:val="en-US" w:eastAsia="zh-CN"/>
        </w:rPr>
        <w:t>一定程度</w:t>
      </w:r>
      <w:r>
        <w:rPr>
          <w:rFonts w:hint="eastAsia" w:ascii="仿宋_GB2312" w:hAnsi="楷体" w:eastAsia="仿宋_GB2312"/>
          <w:sz w:val="32"/>
          <w:szCs w:val="32"/>
        </w:rPr>
        <w:t>改善了</w:t>
      </w:r>
      <w:r>
        <w:rPr>
          <w:rFonts w:hint="eastAsia" w:ascii="仿宋_GB2312" w:hAnsi="楷体" w:eastAsia="仿宋_GB2312"/>
          <w:sz w:val="32"/>
          <w:szCs w:val="32"/>
          <w:lang w:val="en-US" w:eastAsia="zh-CN"/>
        </w:rPr>
        <w:t>群众生产生活条件；解决了</w:t>
      </w:r>
      <w:r>
        <w:rPr>
          <w:rFonts w:hint="eastAsia" w:ascii="Times New Roman" w:hAnsi="Times New Roman" w:eastAsia="仿宋_GB2312" w:cs="仿宋"/>
          <w:sz w:val="32"/>
          <w:szCs w:val="32"/>
          <w:lang w:val="en-US" w:eastAsia="zh-CN"/>
        </w:rPr>
        <w:t>200</w:t>
      </w:r>
      <w:r>
        <w:rPr>
          <w:rFonts w:hint="eastAsia" w:ascii="仿宋_GB2312" w:hAnsi="楷体" w:eastAsia="仿宋_GB2312"/>
          <w:sz w:val="32"/>
          <w:szCs w:val="32"/>
          <w:lang w:val="en-US" w:eastAsia="zh-CN"/>
        </w:rPr>
        <w:t>余村民出行难的问题，缩短了人们的出行条件；可促进农副产品的销售问题，为项目区经济发展提供基础保障，使营村建档立卡贫困户增收受益。</w:t>
      </w:r>
    </w:p>
    <w:p>
      <w:pPr>
        <w:pStyle w:val="3"/>
        <w:widowControl w:val="0"/>
        <w:spacing w:line="360" w:lineRule="auto"/>
        <w:ind w:firstLine="640" w:firstLineChars="200"/>
        <w:rPr>
          <w:kern w:val="2"/>
        </w:rPr>
      </w:pPr>
      <w:bookmarkStart w:id="73" w:name="_Toc29433"/>
      <w:r>
        <w:rPr>
          <w:rFonts w:hint="eastAsia"/>
          <w:kern w:val="2"/>
        </w:rPr>
        <w:t>六、主要经验及做法</w:t>
      </w:r>
      <w:bookmarkEnd w:id="73"/>
    </w:p>
    <w:bookmarkEnd w:id="59"/>
    <w:p>
      <w:pPr>
        <w:ind w:firstLine="640" w:firstLineChars="200"/>
        <w:rPr>
          <w:rFonts w:eastAsia="楷体_GB2312"/>
          <w:sz w:val="32"/>
          <w:szCs w:val="32"/>
        </w:rPr>
      </w:pPr>
      <w:bookmarkStart w:id="74" w:name="_Toc32077"/>
      <w:bookmarkStart w:id="75" w:name="_Toc2319"/>
      <w:bookmarkStart w:id="76" w:name="_Toc30684"/>
      <w:bookmarkStart w:id="77" w:name="_Toc11193"/>
      <w:r>
        <w:rPr>
          <w:rFonts w:hint="eastAsia" w:eastAsia="楷体_GB2312"/>
          <w:sz w:val="32"/>
          <w:szCs w:val="32"/>
        </w:rPr>
        <w:t>（一）项目选择合理，结合当地实际</w:t>
      </w:r>
    </w:p>
    <w:p>
      <w:pPr>
        <w:ind w:firstLine="640" w:firstLineChars="200"/>
        <w:rPr>
          <w:rFonts w:eastAsia="楷体_GB2312"/>
          <w:sz w:val="32"/>
          <w:szCs w:val="32"/>
        </w:rPr>
      </w:pPr>
      <w:r>
        <w:rPr>
          <w:rFonts w:hint="eastAsia" w:ascii="Times New Roman" w:hAnsi="Times New Roman" w:eastAsia="仿宋" w:cs="仿宋"/>
          <w:sz w:val="32"/>
          <w:szCs w:val="32"/>
        </w:rPr>
        <w:t>2019</w:t>
      </w:r>
      <w:r>
        <w:rPr>
          <w:rFonts w:hint="eastAsia" w:ascii="仿宋_GB2312" w:hAnsi="仿宋_GB2312" w:eastAsia="仿宋_GB2312" w:cs="仿宋_GB2312"/>
          <w:sz w:val="32"/>
          <w:szCs w:val="32"/>
        </w:rPr>
        <w:t>年平陆县圣人涧镇营村村一组至二组道路建设工程项目选择结合当地村组道路交通环境较差的自然村路况实际，项目选择合理，符合项目镇客观的现实需求。</w:t>
      </w:r>
    </w:p>
    <w:p>
      <w:pPr>
        <w:ind w:firstLine="640" w:firstLineChars="200"/>
        <w:rPr>
          <w:rFonts w:eastAsia="楷体_GB2312"/>
          <w:sz w:val="32"/>
          <w:szCs w:val="32"/>
        </w:rPr>
      </w:pPr>
      <w:r>
        <w:rPr>
          <w:rFonts w:hint="eastAsia" w:eastAsia="楷体_GB2312"/>
          <w:sz w:val="32"/>
          <w:szCs w:val="32"/>
        </w:rPr>
        <w:t>（二）</w:t>
      </w:r>
      <w:r>
        <w:rPr>
          <w:rFonts w:hint="eastAsia" w:ascii="楷体" w:hAnsi="楷体" w:eastAsia="楷体"/>
          <w:sz w:val="32"/>
          <w:szCs w:val="32"/>
        </w:rPr>
        <w:t>目标责任清晰，项目成效明显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 w:eastAsia="仿宋_GB2312" w:cs="Times New Roman"/>
          <w:sz w:val="32"/>
          <w:szCs w:val="32"/>
        </w:rPr>
      </w:pPr>
      <w:r>
        <w:rPr>
          <w:rFonts w:hint="eastAsia" w:ascii="仿宋_GB2312" w:hAnsi="仿宋" w:eastAsia="仿宋_GB2312" w:cs="Times New Roman"/>
          <w:sz w:val="32"/>
          <w:szCs w:val="32"/>
        </w:rPr>
        <w:t>项目实施单位成立了项目管理组织机构，明确了项目管理各方职责，将项目实施过程的管理责任落实到相关负责人，项目建设取得了较好的成效。</w:t>
      </w:r>
    </w:p>
    <w:p>
      <w:pPr>
        <w:pStyle w:val="3"/>
        <w:widowControl w:val="0"/>
        <w:spacing w:line="360" w:lineRule="auto"/>
        <w:ind w:firstLine="640" w:firstLineChars="200"/>
        <w:rPr>
          <w:kern w:val="2"/>
          <w:highlight w:val="none"/>
        </w:rPr>
      </w:pPr>
      <w:bookmarkStart w:id="78" w:name="_Toc29016"/>
      <w:r>
        <w:rPr>
          <w:rFonts w:hint="eastAsia"/>
          <w:kern w:val="2"/>
          <w:highlight w:val="none"/>
        </w:rPr>
        <w:t>七、</w:t>
      </w:r>
      <w:bookmarkEnd w:id="74"/>
      <w:bookmarkEnd w:id="75"/>
      <w:bookmarkEnd w:id="76"/>
      <w:bookmarkEnd w:id="77"/>
      <w:r>
        <w:rPr>
          <w:rFonts w:hint="eastAsia"/>
          <w:kern w:val="2"/>
          <w:highlight w:val="none"/>
        </w:rPr>
        <w:t>存在的问题</w:t>
      </w:r>
      <w:bookmarkEnd w:id="78"/>
    </w:p>
    <w:p>
      <w:pPr>
        <w:widowControl w:val="0"/>
        <w:ind w:firstLine="640" w:firstLineChars="200"/>
        <w:rPr>
          <w:rFonts w:eastAsia="楷体_GB2312"/>
          <w:sz w:val="32"/>
          <w:szCs w:val="32"/>
          <w:highlight w:val="yellow"/>
        </w:rPr>
      </w:pPr>
      <w:r>
        <w:rPr>
          <w:rFonts w:hint="eastAsia" w:eastAsia="楷体_GB2312"/>
          <w:sz w:val="32"/>
          <w:szCs w:val="32"/>
          <w:highlight w:val="none"/>
        </w:rPr>
        <w:t>（一）</w:t>
      </w:r>
      <w:r>
        <w:rPr>
          <w:rFonts w:hint="eastAsia" w:eastAsia="楷体_GB2312"/>
          <w:sz w:val="32"/>
          <w:szCs w:val="32"/>
          <w:highlight w:val="none"/>
          <w:lang w:val="en-US" w:eastAsia="zh-CN"/>
        </w:rPr>
        <w:t>预算执行率较低</w:t>
      </w:r>
      <w:r>
        <w:rPr>
          <w:rFonts w:hint="eastAsia" w:eastAsia="楷体_GB2312"/>
          <w:sz w:val="32"/>
          <w:szCs w:val="32"/>
          <w:highlight w:val="none"/>
        </w:rPr>
        <w:t>。</w:t>
      </w:r>
      <w:r>
        <w:rPr>
          <w:rFonts w:hint="eastAsia" w:ascii="Times New Roman" w:hAnsi="Times New Roman" w:eastAsia="仿宋_GB2312" w:cs="Times New Roman"/>
          <w:sz w:val="32"/>
          <w:szCs w:val="32"/>
          <w:highlight w:val="none"/>
        </w:rPr>
        <w:t>2019</w:t>
      </w:r>
      <w:r>
        <w:rPr>
          <w:rFonts w:hint="eastAsia" w:ascii="Times New Roman" w:hAnsi="Times New Roman" w:eastAsia="仿宋_GB2312" w:cs="Times New Roman"/>
          <w:sz w:val="32"/>
          <w:szCs w:val="32"/>
        </w:rPr>
        <w:t>年平陆县圣人涧镇营村村一组至二组道路建设工程项目</w:t>
      </w:r>
      <w:r>
        <w:rPr>
          <w:rFonts w:hint="eastAsia" w:ascii="仿宋_GB2312" w:hAnsi="仿宋" w:eastAsia="仿宋_GB2312" w:cs="仿宋"/>
          <w:sz w:val="32"/>
          <w:szCs w:val="32"/>
        </w:rPr>
        <w:t>到位资金</w:t>
      </w:r>
      <w:r>
        <w:rPr>
          <w:rFonts w:hint="eastAsia" w:ascii="Times New Roman" w:hAnsi="Times New Roman" w:eastAsia="仿宋_GB2312" w:cs="仿宋_GB2312"/>
          <w:sz w:val="32"/>
          <w:szCs w:val="32"/>
          <w:lang w:val="en-US" w:eastAsia="zh-CN"/>
        </w:rPr>
        <w:t>132.12</w:t>
      </w:r>
      <w:r>
        <w:rPr>
          <w:rFonts w:ascii="仿宋_GB2312" w:hAnsi="仿宋" w:eastAsia="仿宋_GB2312" w:cs="仿宋"/>
          <w:sz w:val="32"/>
          <w:szCs w:val="32"/>
        </w:rPr>
        <w:t>万元，</w:t>
      </w:r>
      <w:r>
        <w:rPr>
          <w:rFonts w:hint="eastAsia" w:ascii="仿宋_GB2312" w:hAnsi="仿宋" w:eastAsia="仿宋_GB2312" w:cs="仿宋"/>
          <w:sz w:val="32"/>
          <w:szCs w:val="32"/>
        </w:rPr>
        <w:t>项目支出资金</w:t>
      </w:r>
      <w:r>
        <w:rPr>
          <w:rFonts w:hint="eastAsia" w:ascii="Times New Roman" w:hAnsi="Times New Roman" w:eastAsia="仿宋_GB2312" w:cs="仿宋_GB2312"/>
          <w:sz w:val="32"/>
          <w:szCs w:val="32"/>
          <w:lang w:val="en-US" w:eastAsia="zh-CN"/>
        </w:rPr>
        <w:t>117.08</w:t>
      </w:r>
      <w:r>
        <w:rPr>
          <w:rFonts w:hint="eastAsia" w:ascii="仿宋_GB2312" w:hAnsi="Times New Roman" w:eastAsia="仿宋_GB2312" w:cs="Times New Roman"/>
          <w:sz w:val="32"/>
          <w:szCs w:val="32"/>
        </w:rPr>
        <w:t>万元，</w:t>
      </w:r>
      <w:r>
        <w:rPr>
          <w:rFonts w:hint="eastAsia" w:ascii="仿宋_GB2312" w:hAnsi="仿宋" w:eastAsia="仿宋_GB2312" w:cs="仿宋"/>
          <w:sz w:val="32"/>
          <w:szCs w:val="32"/>
        </w:rPr>
        <w:t>预算执行率为</w:t>
      </w:r>
      <w:r>
        <w:rPr>
          <w:rFonts w:hint="eastAsia" w:ascii="Times New Roman" w:hAnsi="Times New Roman" w:eastAsia="仿宋" w:cs="仿宋"/>
          <w:sz w:val="32"/>
          <w:szCs w:val="32"/>
          <w:lang w:val="en-US" w:eastAsia="zh-CN"/>
        </w:rPr>
        <w:t>88.62</w:t>
      </w:r>
      <w:r>
        <w:rPr>
          <w:rFonts w:hint="eastAsia" w:ascii="仿宋" w:hAnsi="仿宋" w:eastAsia="仿宋" w:cs="仿宋"/>
          <w:sz w:val="32"/>
          <w:szCs w:val="32"/>
        </w:rPr>
        <w:t>%。</w:t>
      </w:r>
      <w:r>
        <w:rPr>
          <w:rFonts w:hint="eastAsia" w:ascii="仿宋" w:hAnsi="仿宋" w:eastAsia="仿宋" w:cs="仿宋"/>
          <w:sz w:val="32"/>
          <w:szCs w:val="32"/>
          <w:lang w:val="en-US" w:eastAsia="zh-CN"/>
        </w:rPr>
        <w:t>资金拨付按照：一、启动施工单位开工建设后，实施单位应向施工单位预付工程款资金的</w:t>
      </w:r>
      <w:r>
        <w:rPr>
          <w:rFonts w:hint="eastAsia" w:ascii="Times New Roman" w:hAnsi="Times New Roman" w:eastAsia="仿宋_GB2312" w:cs="Times New Roman"/>
          <w:sz w:val="32"/>
          <w:szCs w:val="32"/>
          <w:lang w:val="en-US" w:eastAsia="zh-CN"/>
        </w:rPr>
        <w:t>30</w:t>
      </w:r>
      <w:r>
        <w:rPr>
          <w:rFonts w:hint="eastAsia" w:ascii="仿宋" w:hAnsi="仿宋" w:eastAsia="仿宋" w:cs="仿宋"/>
          <w:sz w:val="32"/>
          <w:szCs w:val="32"/>
          <w:lang w:val="en-US" w:eastAsia="zh-CN"/>
        </w:rPr>
        <w:t>%作为工程启动金；二、进度资金报账拨付。经项目实施单位核实，报请主管部门对施工单位承建工程组织中期进度检查，按完成工程量分期报账支付，进度支付额度为工程款</w:t>
      </w:r>
      <w:r>
        <w:rPr>
          <w:rFonts w:hint="eastAsia" w:ascii="Times New Roman" w:hAnsi="Times New Roman" w:eastAsia="仿宋_GB2312" w:cs="Times New Roman"/>
          <w:sz w:val="32"/>
          <w:szCs w:val="32"/>
          <w:lang w:val="en-US" w:eastAsia="zh-CN"/>
        </w:rPr>
        <w:t>40</w:t>
      </w:r>
      <w:r>
        <w:rPr>
          <w:rFonts w:hint="eastAsia" w:ascii="仿宋" w:hAnsi="仿宋" w:eastAsia="仿宋" w:cs="仿宋"/>
          <w:sz w:val="32"/>
          <w:szCs w:val="32"/>
          <w:lang w:val="en-US" w:eastAsia="zh-CN"/>
        </w:rPr>
        <w:t>%；三、验收后资金报账拨付：施工单位工程竣工后，经项目实施单位对施工单位承建工程组织验收合格后，项目实施单位向施工单位支付工程款资金的</w:t>
      </w:r>
      <w:r>
        <w:rPr>
          <w:rFonts w:hint="eastAsia" w:ascii="Times New Roman" w:hAnsi="Times New Roman" w:eastAsia="仿宋_GB2312" w:cs="Times New Roman"/>
          <w:sz w:val="32"/>
          <w:szCs w:val="32"/>
          <w:lang w:val="en-US" w:eastAsia="zh-CN"/>
        </w:rPr>
        <w:t>25</w:t>
      </w:r>
      <w:r>
        <w:rPr>
          <w:rFonts w:hint="eastAsia" w:ascii="仿宋" w:hAnsi="仿宋" w:eastAsia="仿宋" w:cs="仿宋"/>
          <w:sz w:val="32"/>
          <w:szCs w:val="32"/>
          <w:lang w:val="en-US" w:eastAsia="zh-CN"/>
        </w:rPr>
        <w:t>%；四、质量保证金。工程款资金的</w:t>
      </w:r>
      <w:r>
        <w:rPr>
          <w:rFonts w:hint="eastAsia" w:ascii="Times New Roman" w:hAnsi="Times New Roman" w:eastAsia="仿宋_GB2312" w:cs="Times New Roman"/>
          <w:sz w:val="32"/>
          <w:szCs w:val="32"/>
          <w:lang w:val="en-US" w:eastAsia="zh-CN"/>
        </w:rPr>
        <w:t>5</w:t>
      </w:r>
      <w:r>
        <w:rPr>
          <w:rFonts w:hint="eastAsia" w:ascii="仿宋" w:hAnsi="仿宋" w:eastAsia="仿宋" w:cs="仿宋"/>
          <w:sz w:val="32"/>
          <w:szCs w:val="32"/>
          <w:lang w:val="en-US" w:eastAsia="zh-CN"/>
        </w:rPr>
        <w:t>%作为质量保证金，保修期满后，工程正常运行，实施单位向施工单位支付工程款资金</w:t>
      </w:r>
      <w:r>
        <w:rPr>
          <w:rFonts w:hint="eastAsia" w:ascii="Times New Roman" w:hAnsi="Times New Roman" w:eastAsia="仿宋_GB2312" w:cs="Times New Roman"/>
          <w:sz w:val="32"/>
          <w:szCs w:val="32"/>
          <w:lang w:val="en-US" w:eastAsia="zh-CN"/>
        </w:rPr>
        <w:t>5</w:t>
      </w:r>
      <w:r>
        <w:rPr>
          <w:rFonts w:hint="eastAsia" w:ascii="仿宋" w:hAnsi="仿宋" w:eastAsia="仿宋" w:cs="仿宋"/>
          <w:sz w:val="32"/>
          <w:szCs w:val="32"/>
          <w:lang w:val="en-US" w:eastAsia="zh-CN"/>
        </w:rPr>
        <w:t>%的质量保证金。经核实，营村道路建设工程费用总计为</w:t>
      </w:r>
      <w:r>
        <w:rPr>
          <w:rFonts w:hint="eastAsia" w:ascii="Times New Roman" w:hAnsi="Times New Roman" w:eastAsia="仿宋_GB2312" w:cs="Times New Roman"/>
          <w:sz w:val="32"/>
          <w:szCs w:val="32"/>
          <w:lang w:val="en-US" w:eastAsia="zh-CN"/>
        </w:rPr>
        <w:t>132.12</w:t>
      </w:r>
      <w:r>
        <w:rPr>
          <w:rFonts w:hint="eastAsia" w:ascii="仿宋" w:hAnsi="仿宋" w:eastAsia="仿宋" w:cs="仿宋"/>
          <w:sz w:val="32"/>
          <w:szCs w:val="32"/>
          <w:lang w:val="en-US" w:eastAsia="zh-CN"/>
        </w:rPr>
        <w:t>万元，其中，工程款</w:t>
      </w:r>
      <w:r>
        <w:rPr>
          <w:rFonts w:hint="eastAsia" w:ascii="Times New Roman" w:hAnsi="Times New Roman" w:eastAsia="仿宋_GB2312" w:cs="Times New Roman"/>
          <w:sz w:val="32"/>
          <w:szCs w:val="32"/>
          <w:lang w:val="en-US" w:eastAsia="zh-CN"/>
        </w:rPr>
        <w:t>127.4</w:t>
      </w:r>
      <w:r>
        <w:rPr>
          <w:rFonts w:hint="eastAsia" w:ascii="仿宋" w:hAnsi="仿宋" w:eastAsia="仿宋" w:cs="仿宋"/>
          <w:sz w:val="32"/>
          <w:szCs w:val="32"/>
          <w:lang w:val="en-US" w:eastAsia="zh-CN"/>
        </w:rPr>
        <w:t>万元，其他费用</w:t>
      </w:r>
      <w:r>
        <w:rPr>
          <w:rFonts w:hint="eastAsia" w:ascii="Times New Roman" w:hAnsi="Times New Roman" w:eastAsia="仿宋_GB2312" w:cs="Times New Roman"/>
          <w:sz w:val="32"/>
          <w:szCs w:val="32"/>
          <w:lang w:val="en-US" w:eastAsia="zh-CN"/>
        </w:rPr>
        <w:t>4.72</w:t>
      </w:r>
      <w:r>
        <w:rPr>
          <w:rFonts w:hint="eastAsia" w:ascii="仿宋" w:hAnsi="仿宋" w:eastAsia="仿宋" w:cs="仿宋"/>
          <w:sz w:val="32"/>
          <w:szCs w:val="32"/>
          <w:lang w:val="en-US" w:eastAsia="zh-CN"/>
        </w:rPr>
        <w:t>万元。项目截止</w:t>
      </w:r>
      <w:r>
        <w:rPr>
          <w:rFonts w:hint="eastAsia" w:ascii="Times New Roman" w:hAnsi="Times New Roman" w:eastAsia="仿宋_GB2312" w:cs="Times New Roman"/>
          <w:sz w:val="32"/>
          <w:szCs w:val="32"/>
          <w:lang w:val="en-US" w:eastAsia="zh-CN"/>
        </w:rPr>
        <w:t>2019</w:t>
      </w:r>
      <w:r>
        <w:rPr>
          <w:rFonts w:hint="eastAsia" w:ascii="仿宋" w:hAnsi="仿宋" w:eastAsia="仿宋" w:cs="仿宋"/>
          <w:sz w:val="32"/>
          <w:szCs w:val="32"/>
          <w:lang w:val="en-US" w:eastAsia="zh-CN"/>
        </w:rPr>
        <w:t>年</w:t>
      </w:r>
      <w:r>
        <w:rPr>
          <w:rFonts w:hint="eastAsia" w:ascii="Times New Roman" w:hAnsi="Times New Roman" w:eastAsia="仿宋_GB2312" w:cs="Times New Roman"/>
          <w:sz w:val="32"/>
          <w:szCs w:val="32"/>
          <w:lang w:val="en-US" w:eastAsia="zh-CN"/>
        </w:rPr>
        <w:t>12</w:t>
      </w:r>
      <w:r>
        <w:rPr>
          <w:rFonts w:hint="eastAsia" w:ascii="仿宋" w:hAnsi="仿宋" w:eastAsia="仿宋" w:cs="仿宋"/>
          <w:sz w:val="32"/>
          <w:szCs w:val="32"/>
          <w:lang w:val="en-US" w:eastAsia="zh-CN"/>
        </w:rPr>
        <w:t>月</w:t>
      </w:r>
      <w:r>
        <w:rPr>
          <w:rFonts w:hint="eastAsia" w:ascii="Times New Roman" w:hAnsi="Times New Roman" w:eastAsia="仿宋_GB2312" w:cs="Times New Roman"/>
          <w:sz w:val="32"/>
          <w:szCs w:val="32"/>
          <w:lang w:val="en-US" w:eastAsia="zh-CN"/>
        </w:rPr>
        <w:t>31</w:t>
      </w:r>
      <w:r>
        <w:rPr>
          <w:rFonts w:hint="eastAsia" w:ascii="仿宋" w:hAnsi="仿宋" w:eastAsia="仿宋" w:cs="仿宋"/>
          <w:sz w:val="32"/>
          <w:szCs w:val="32"/>
          <w:lang w:val="en-US" w:eastAsia="zh-CN"/>
        </w:rPr>
        <w:t>日，项目实施单位支付工程款</w:t>
      </w:r>
      <w:r>
        <w:rPr>
          <w:rFonts w:hint="eastAsia" w:ascii="Times New Roman" w:hAnsi="Times New Roman" w:eastAsia="仿宋_GB2312" w:cs="Times New Roman"/>
          <w:sz w:val="32"/>
          <w:szCs w:val="32"/>
          <w:lang w:val="en-US" w:eastAsia="zh-CN"/>
        </w:rPr>
        <w:t>114.66</w:t>
      </w:r>
      <w:r>
        <w:rPr>
          <w:rFonts w:hint="eastAsia" w:ascii="仿宋" w:hAnsi="仿宋" w:eastAsia="仿宋" w:cs="仿宋"/>
          <w:sz w:val="32"/>
          <w:szCs w:val="32"/>
          <w:lang w:val="en-US" w:eastAsia="zh-CN"/>
        </w:rPr>
        <w:t>万元，其他费用</w:t>
      </w:r>
      <w:r>
        <w:rPr>
          <w:rFonts w:hint="eastAsia" w:ascii="Times New Roman" w:hAnsi="Times New Roman" w:eastAsia="仿宋_GB2312" w:cs="Times New Roman"/>
          <w:sz w:val="32"/>
          <w:szCs w:val="32"/>
          <w:lang w:val="en-US" w:eastAsia="zh-CN"/>
        </w:rPr>
        <w:t>2.42</w:t>
      </w:r>
      <w:r>
        <w:rPr>
          <w:rFonts w:hint="eastAsia" w:ascii="仿宋" w:hAnsi="仿宋" w:eastAsia="仿宋" w:cs="仿宋"/>
          <w:sz w:val="32"/>
          <w:szCs w:val="32"/>
          <w:lang w:val="en-US" w:eastAsia="zh-CN"/>
        </w:rPr>
        <w:t>万元。工程款未按照资金拨付进行支付。</w:t>
      </w:r>
    </w:p>
    <w:p>
      <w:pPr>
        <w:widowControl w:val="0"/>
        <w:ind w:firstLine="640" w:firstLineChars="200"/>
        <w:rPr>
          <w:rFonts w:eastAsia="楷体_GB2312"/>
          <w:sz w:val="32"/>
          <w:szCs w:val="32"/>
          <w:highlight w:val="none"/>
        </w:rPr>
      </w:pPr>
      <w:r>
        <w:rPr>
          <w:rFonts w:hint="eastAsia" w:eastAsia="楷体_GB2312"/>
          <w:sz w:val="32"/>
          <w:szCs w:val="32"/>
          <w:highlight w:val="none"/>
        </w:rPr>
        <w:t>（二）项目管理制度不够健全。</w:t>
      </w:r>
      <w:r>
        <w:rPr>
          <w:rFonts w:hint="eastAsia" w:ascii="仿宋_GB2312" w:hAnsi="仿宋" w:eastAsia="仿宋_GB2312" w:cs="仿宋"/>
          <w:sz w:val="32"/>
          <w:szCs w:val="32"/>
          <w:lang w:val="en-US" w:eastAsia="zh-CN"/>
        </w:rPr>
        <w:t>经核实，</w:t>
      </w:r>
      <w:r>
        <w:rPr>
          <w:rFonts w:hint="eastAsia" w:ascii="仿宋_GB2312" w:hAnsi="仿宋" w:eastAsia="仿宋_GB2312" w:cs="仿宋"/>
          <w:sz w:val="32"/>
          <w:szCs w:val="32"/>
        </w:rPr>
        <w:t>项目实施单位制定了财务管理制度</w:t>
      </w:r>
      <w:r>
        <w:rPr>
          <w:rFonts w:hint="eastAsia" w:ascii="仿宋_GB2312" w:hAnsi="仿宋" w:eastAsia="仿宋_GB2312" w:cs="仿宋"/>
          <w:sz w:val="32"/>
          <w:szCs w:val="32"/>
          <w:lang w:val="en-US" w:eastAsia="zh-CN"/>
        </w:rPr>
        <w:t>和资金管理制度</w:t>
      </w:r>
      <w:r>
        <w:rPr>
          <w:rFonts w:hint="eastAsia" w:ascii="仿宋_GB2312" w:hAnsi="仿宋" w:eastAsia="仿宋_GB2312" w:cs="仿宋"/>
          <w:sz w:val="32"/>
          <w:szCs w:val="32"/>
        </w:rPr>
        <w:t>，且制度较为完整</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项目实施单位在项目实施过程中，</w:t>
      </w:r>
      <w:r>
        <w:rPr>
          <w:rFonts w:hint="eastAsia" w:ascii="仿宋_GB2312" w:hAnsi="仿宋" w:eastAsia="仿宋_GB2312" w:cs="仿宋"/>
          <w:sz w:val="32"/>
          <w:szCs w:val="32"/>
          <w:lang w:val="en-US" w:eastAsia="zh-CN"/>
        </w:rPr>
        <w:t>制定了项目监理制度、项目合同管理制度、项目绩效评价制度、项目公告公示制度、项目管理法人制度、项目招标投标制度和安全生产责任制等相关业务管理制度，但</w:t>
      </w:r>
      <w:r>
        <w:rPr>
          <w:rFonts w:hint="eastAsia" w:ascii="仿宋_GB2312" w:hAnsi="仿宋" w:eastAsia="仿宋_GB2312" w:cs="仿宋"/>
          <w:sz w:val="32"/>
          <w:szCs w:val="32"/>
        </w:rPr>
        <w:t>未制定后期运维管理制度，不利于</w:t>
      </w:r>
      <w:r>
        <w:rPr>
          <w:rFonts w:hint="eastAsia" w:ascii="仿宋_GB2312" w:hAnsi="仿宋" w:eastAsia="仿宋_GB2312" w:cs="仿宋"/>
          <w:sz w:val="32"/>
          <w:szCs w:val="32"/>
          <w:lang w:val="en-US" w:eastAsia="zh-CN"/>
        </w:rPr>
        <w:t>质控</w:t>
      </w:r>
      <w:r>
        <w:rPr>
          <w:rFonts w:hint="eastAsia" w:ascii="仿宋_GB2312" w:hAnsi="仿宋" w:eastAsia="仿宋_GB2312" w:cs="仿宋"/>
          <w:sz w:val="32"/>
          <w:szCs w:val="32"/>
        </w:rPr>
        <w:t>考核</w:t>
      </w:r>
      <w:r>
        <w:rPr>
          <w:rFonts w:hint="eastAsia" w:ascii="仿宋_GB2312" w:hAnsi="仿宋" w:eastAsia="仿宋_GB2312" w:cs="仿宋"/>
          <w:sz w:val="32"/>
          <w:szCs w:val="32"/>
          <w:lang w:val="en-US" w:eastAsia="zh-CN"/>
        </w:rPr>
        <w:t>和评价</w:t>
      </w:r>
      <w:r>
        <w:rPr>
          <w:rFonts w:hint="eastAsia" w:ascii="仿宋_GB2312" w:hAnsi="仿宋" w:eastAsia="仿宋_GB2312" w:cs="仿宋"/>
          <w:sz w:val="32"/>
          <w:szCs w:val="32"/>
          <w:highlight w:val="none"/>
        </w:rPr>
        <w:t>。</w:t>
      </w:r>
    </w:p>
    <w:p>
      <w:pPr>
        <w:widowControl w:val="0"/>
        <w:ind w:left="240" w:leftChars="100" w:firstLine="640" w:firstLineChars="200"/>
        <w:rPr>
          <w:rFonts w:eastAsia="楷体_GB2312"/>
          <w:sz w:val="32"/>
          <w:szCs w:val="32"/>
          <w:highlight w:val="yellow"/>
        </w:rPr>
      </w:pPr>
      <w:r>
        <w:rPr>
          <w:rFonts w:hint="eastAsia" w:eastAsia="楷体_GB2312"/>
          <w:sz w:val="32"/>
          <w:szCs w:val="32"/>
          <w:highlight w:val="none"/>
        </w:rPr>
        <w:t>（</w:t>
      </w:r>
      <w:r>
        <w:rPr>
          <w:rFonts w:hint="eastAsia" w:eastAsia="楷体_GB2312"/>
          <w:sz w:val="32"/>
          <w:szCs w:val="32"/>
          <w:highlight w:val="none"/>
          <w:lang w:val="en-US" w:eastAsia="zh-CN"/>
        </w:rPr>
        <w:t>三</w:t>
      </w:r>
      <w:r>
        <w:rPr>
          <w:rFonts w:hint="eastAsia" w:eastAsia="楷体_GB2312"/>
          <w:sz w:val="32"/>
          <w:szCs w:val="32"/>
          <w:highlight w:val="none"/>
        </w:rPr>
        <w:t>）后期维护管护有待提高。</w:t>
      </w:r>
      <w:r>
        <w:rPr>
          <w:rFonts w:hint="eastAsia" w:eastAsia="仿宋_GB2312"/>
          <w:sz w:val="32"/>
          <w:szCs w:val="32"/>
          <w:highlight w:val="none"/>
        </w:rPr>
        <w:t>评价组通过研读项目资料和项目核实，发现项目实施单位未制定项目后期维护管护制度或措施，不利于</w:t>
      </w:r>
      <w:r>
        <w:rPr>
          <w:rFonts w:hint="eastAsia" w:ascii="Times New Roman" w:hAnsi="Times New Roman" w:eastAsia="仿宋_GB2312" w:cs="仿宋_GB2312"/>
          <w:sz w:val="32"/>
          <w:szCs w:val="32"/>
          <w:highlight w:val="none"/>
        </w:rPr>
        <w:t>2019年平陆县圣人涧镇营村村一组至二组道路建设工程项目</w:t>
      </w:r>
      <w:r>
        <w:rPr>
          <w:rFonts w:hint="eastAsia" w:eastAsia="仿宋_GB2312"/>
          <w:sz w:val="32"/>
          <w:szCs w:val="32"/>
          <w:highlight w:val="none"/>
        </w:rPr>
        <w:t>后期质量跟踪和维护，不利于项目的可持续性。</w:t>
      </w:r>
    </w:p>
    <w:p>
      <w:pPr>
        <w:pStyle w:val="3"/>
        <w:widowControl w:val="0"/>
        <w:spacing w:line="360" w:lineRule="auto"/>
        <w:ind w:firstLine="640" w:firstLineChars="200"/>
        <w:rPr>
          <w:kern w:val="2"/>
          <w:highlight w:val="none"/>
        </w:rPr>
      </w:pPr>
      <w:bookmarkStart w:id="79" w:name="_Toc32356"/>
      <w:r>
        <w:rPr>
          <w:rFonts w:hint="eastAsia"/>
          <w:kern w:val="2"/>
          <w:highlight w:val="none"/>
        </w:rPr>
        <w:t>八、改进意见</w:t>
      </w:r>
      <w:bookmarkEnd w:id="79"/>
    </w:p>
    <w:bookmarkEnd w:id="60"/>
    <w:bookmarkEnd w:id="61"/>
    <w:bookmarkEnd w:id="62"/>
    <w:bookmarkEnd w:id="63"/>
    <w:bookmarkEnd w:id="64"/>
    <w:bookmarkEnd w:id="65"/>
    <w:bookmarkEnd w:id="66"/>
    <w:bookmarkEnd w:id="67"/>
    <w:bookmarkEnd w:id="68"/>
    <w:bookmarkEnd w:id="69"/>
    <w:bookmarkEnd w:id="70"/>
    <w:p>
      <w:pPr>
        <w:widowControl w:val="0"/>
        <w:ind w:firstLine="640" w:firstLineChars="200"/>
        <w:rPr>
          <w:rFonts w:eastAsia="楷体_GB2312"/>
          <w:sz w:val="32"/>
          <w:szCs w:val="32"/>
          <w:highlight w:val="none"/>
        </w:rPr>
      </w:pPr>
      <w:bookmarkStart w:id="80" w:name="_Toc13045391"/>
      <w:bookmarkStart w:id="81" w:name="_Toc12638346"/>
      <w:r>
        <w:rPr>
          <w:rFonts w:hint="eastAsia" w:eastAsia="楷体_GB2312"/>
          <w:sz w:val="32"/>
          <w:szCs w:val="32"/>
          <w:highlight w:val="none"/>
        </w:rPr>
        <w:t>（一）</w:t>
      </w:r>
      <w:r>
        <w:rPr>
          <w:rFonts w:hint="eastAsia" w:eastAsia="楷体_GB2312"/>
          <w:sz w:val="32"/>
          <w:szCs w:val="32"/>
          <w:highlight w:val="none"/>
          <w:lang w:val="en-US" w:eastAsia="zh-CN"/>
        </w:rPr>
        <w:t>提高预算执行率，避免资金闲置</w:t>
      </w:r>
      <w:r>
        <w:rPr>
          <w:rFonts w:hint="eastAsia" w:eastAsia="楷体_GB2312"/>
          <w:sz w:val="32"/>
          <w:szCs w:val="32"/>
          <w:highlight w:val="none"/>
        </w:rPr>
        <w:t>。</w:t>
      </w:r>
      <w:r>
        <w:rPr>
          <w:rFonts w:hint="eastAsia" w:ascii="仿宋_GB2312" w:hAnsi="仿宋" w:eastAsia="仿宋_GB2312"/>
          <w:sz w:val="32"/>
          <w:szCs w:val="32"/>
          <w:highlight w:val="none"/>
        </w:rPr>
        <w:t>建议项目实施单位</w:t>
      </w:r>
      <w:r>
        <w:rPr>
          <w:rFonts w:hint="eastAsia" w:ascii="仿宋_GB2312" w:hAnsi="仿宋" w:eastAsia="仿宋_GB2312"/>
          <w:sz w:val="32"/>
          <w:szCs w:val="32"/>
          <w:highlight w:val="none"/>
          <w:lang w:val="en-US" w:eastAsia="zh-CN"/>
        </w:rPr>
        <w:t>要针对资金结余情况，分析原因，有针对性的提出解决措施或办法，避免资金闲置；针对项目特点，提高资金支付效率。</w:t>
      </w:r>
    </w:p>
    <w:p>
      <w:pPr>
        <w:widowControl w:val="0"/>
        <w:ind w:firstLine="640" w:firstLineChars="200"/>
        <w:rPr>
          <w:rFonts w:ascii="仿宋_GB2312" w:hAnsi="仿宋" w:eastAsia="仿宋_GB2312" w:cs="仿宋"/>
          <w:sz w:val="32"/>
          <w:szCs w:val="32"/>
          <w:highlight w:val="none"/>
        </w:rPr>
      </w:pPr>
      <w:r>
        <w:rPr>
          <w:rFonts w:hint="eastAsia" w:eastAsia="楷体_GB2312"/>
          <w:sz w:val="32"/>
          <w:szCs w:val="32"/>
          <w:highlight w:val="none"/>
        </w:rPr>
        <w:t>（二）健全项目管理制度，提高制度执行力度。</w:t>
      </w:r>
      <w:r>
        <w:rPr>
          <w:rFonts w:hint="eastAsia" w:ascii="仿宋" w:hAnsi="仿宋" w:eastAsia="仿宋_GB2312"/>
          <w:sz w:val="32"/>
          <w:szCs w:val="32"/>
          <w:highlight w:val="none"/>
        </w:rPr>
        <w:t>制度建设是项目管理的前提和保障。建议项目实施单位根据项目特点，建立健全和不断完善制度管理体系。要将制度建设放在加强项目管理的首要位置，建立健全</w:t>
      </w:r>
      <w:r>
        <w:rPr>
          <w:rFonts w:hint="eastAsia" w:ascii="仿宋_GB2312" w:hAnsi="仿宋" w:eastAsia="仿宋_GB2312" w:cs="仿宋"/>
          <w:sz w:val="32"/>
          <w:szCs w:val="32"/>
          <w:highlight w:val="none"/>
        </w:rPr>
        <w:t>后期运维管理制度，</w:t>
      </w:r>
      <w:r>
        <w:rPr>
          <w:rFonts w:hint="eastAsia" w:ascii="仿宋" w:hAnsi="仿宋" w:eastAsia="仿宋_GB2312"/>
          <w:sz w:val="32"/>
          <w:szCs w:val="32"/>
          <w:highlight w:val="none"/>
        </w:rPr>
        <w:t>强化制度约束力，提高制度执行力，从源头上杜绝各类违规现象和行为的发生。</w:t>
      </w:r>
    </w:p>
    <w:p>
      <w:pPr>
        <w:widowControl w:val="0"/>
        <w:overflowPunct w:val="0"/>
        <w:ind w:firstLine="640" w:firstLineChars="200"/>
        <w:rPr>
          <w:rFonts w:eastAsia="楷体_GB2312"/>
          <w:sz w:val="32"/>
          <w:szCs w:val="32"/>
          <w:highlight w:val="none"/>
        </w:rPr>
      </w:pPr>
      <w:r>
        <w:rPr>
          <w:rFonts w:hint="eastAsia" w:eastAsia="楷体_GB2312"/>
          <w:sz w:val="32"/>
          <w:szCs w:val="32"/>
          <w:highlight w:val="none"/>
        </w:rPr>
        <w:t>（</w:t>
      </w:r>
      <w:r>
        <w:rPr>
          <w:rFonts w:hint="eastAsia" w:eastAsia="楷体_GB2312"/>
          <w:sz w:val="32"/>
          <w:szCs w:val="32"/>
          <w:highlight w:val="none"/>
          <w:lang w:val="en-US" w:eastAsia="zh-CN"/>
        </w:rPr>
        <w:t>三</w:t>
      </w:r>
      <w:r>
        <w:rPr>
          <w:rFonts w:hint="eastAsia" w:eastAsia="楷体_GB2312"/>
          <w:sz w:val="32"/>
          <w:szCs w:val="32"/>
          <w:highlight w:val="none"/>
        </w:rPr>
        <w:t>）提高后期管护管理。</w:t>
      </w:r>
      <w:r>
        <w:rPr>
          <w:rFonts w:hint="eastAsia" w:eastAsia="仿宋_GB2312"/>
          <w:sz w:val="32"/>
          <w:szCs w:val="32"/>
          <w:highlight w:val="none"/>
        </w:rPr>
        <w:t>建议项目实施单位，提高项目后期维护管护意识，针对项目特点，建立健全项目后期各类维护管护制度，明确管护责任，加强监督检查，有效保障项目质量可持续性。</w:t>
      </w:r>
    </w:p>
    <w:p>
      <w:pPr>
        <w:pStyle w:val="3"/>
        <w:widowControl w:val="0"/>
        <w:spacing w:line="360" w:lineRule="auto"/>
        <w:ind w:firstLine="640" w:firstLineChars="200"/>
        <w:rPr>
          <w:kern w:val="2"/>
        </w:rPr>
      </w:pPr>
      <w:bookmarkStart w:id="82" w:name="_Toc8245"/>
      <w:r>
        <w:rPr>
          <w:rFonts w:hint="eastAsia"/>
          <w:kern w:val="2"/>
        </w:rPr>
        <w:t>九、绩效评价结果应用建议</w:t>
      </w:r>
      <w:bookmarkEnd w:id="82"/>
    </w:p>
    <w:p>
      <w:pPr>
        <w:widowControl w:val="0"/>
        <w:overflowPunct w:val="0"/>
        <w:ind w:firstLine="643" w:firstLineChars="200"/>
        <w:rPr>
          <w:rFonts w:ascii="仿宋_GB2312" w:hAnsi="仿宋" w:eastAsia="仿宋_GB2312"/>
          <w:sz w:val="32"/>
          <w:szCs w:val="32"/>
        </w:rPr>
      </w:pPr>
      <w:r>
        <w:rPr>
          <w:rFonts w:hint="eastAsia" w:ascii="Times New Roman" w:hAnsi="Times New Roman" w:eastAsia="仿宋_GB2312"/>
          <w:b/>
          <w:sz w:val="32"/>
          <w:szCs w:val="32"/>
        </w:rPr>
        <w:t>1</w:t>
      </w:r>
      <w:r>
        <w:rPr>
          <w:rFonts w:hint="eastAsia" w:ascii="仿宋_GB2312" w:hAnsi="仿宋" w:eastAsia="仿宋_GB2312"/>
          <w:b/>
          <w:sz w:val="32"/>
          <w:szCs w:val="32"/>
        </w:rPr>
        <w:t>.评价结果公开。</w:t>
      </w:r>
      <w:r>
        <w:rPr>
          <w:rFonts w:hint="eastAsia" w:ascii="仿宋_GB2312" w:hAnsi="仿宋" w:eastAsia="仿宋_GB2312"/>
          <w:sz w:val="32"/>
          <w:szCs w:val="32"/>
        </w:rPr>
        <w:t>建议将本次绩效评价结果向平陆县人民政府、人大报告，为政府决策和人大监督提供参考。同时，依据《政府信息公开条例》等相关规定，将绩效评价情况在财政门户等网站公开，形成社会监督机制，督促资金使用单位强化责任意识，增强绩效理念，提高项目资金使用效率。</w:t>
      </w:r>
    </w:p>
    <w:p>
      <w:pPr>
        <w:widowControl w:val="0"/>
        <w:overflowPunct w:val="0"/>
        <w:ind w:firstLine="643" w:firstLineChars="200"/>
        <w:rPr>
          <w:rFonts w:ascii="仿宋_GB2312" w:hAnsi="仿宋" w:eastAsia="仿宋_GB2312"/>
          <w:sz w:val="32"/>
          <w:szCs w:val="32"/>
        </w:rPr>
      </w:pPr>
      <w:r>
        <w:rPr>
          <w:rFonts w:hint="eastAsia" w:ascii="Times New Roman" w:hAnsi="Times New Roman" w:eastAsia="仿宋_GB2312"/>
          <w:b/>
          <w:sz w:val="32"/>
          <w:szCs w:val="32"/>
        </w:rPr>
        <w:t>2</w:t>
      </w:r>
      <w:r>
        <w:rPr>
          <w:rFonts w:hint="eastAsia" w:ascii="仿宋_GB2312" w:hAnsi="仿宋" w:eastAsia="仿宋_GB2312"/>
          <w:b/>
          <w:sz w:val="32"/>
          <w:szCs w:val="32"/>
        </w:rPr>
        <w:t>.督促问题整改。</w:t>
      </w:r>
      <w:r>
        <w:rPr>
          <w:rFonts w:hint="eastAsia" w:ascii="仿宋_GB2312" w:hAnsi="仿宋" w:eastAsia="仿宋_GB2312"/>
          <w:sz w:val="32"/>
          <w:szCs w:val="32"/>
        </w:rPr>
        <w:t>建议将本次绩效评价过程中发现的问题及时反馈给项目实施单位，由项目实施单位建立问题整改台账，完善相关的机制、制度，积极整改，将整改结果报平陆县财政局绩效评价科，并定期检查。项目实施单位要认真查找问题根源，吸取教训，有效避免类似问题再次发生。</w:t>
      </w:r>
    </w:p>
    <w:p>
      <w:pPr>
        <w:widowControl w:val="0"/>
        <w:overflowPunct w:val="0"/>
        <w:ind w:firstLine="643" w:firstLineChars="200"/>
        <w:rPr>
          <w:rFonts w:ascii="仿宋_GB2312" w:hAnsi="仿宋" w:eastAsia="仿宋_GB2312"/>
          <w:sz w:val="32"/>
          <w:szCs w:val="32"/>
        </w:rPr>
      </w:pPr>
      <w:r>
        <w:rPr>
          <w:rFonts w:hint="eastAsia" w:ascii="Times New Roman" w:hAnsi="Times New Roman" w:eastAsia="仿宋_GB2312"/>
          <w:b/>
          <w:sz w:val="32"/>
          <w:szCs w:val="32"/>
        </w:rPr>
        <w:t>3</w:t>
      </w:r>
      <w:r>
        <w:rPr>
          <w:rFonts w:hint="eastAsia" w:ascii="仿宋_GB2312" w:hAnsi="仿宋" w:eastAsia="仿宋_GB2312"/>
          <w:b/>
          <w:sz w:val="32"/>
          <w:szCs w:val="32"/>
        </w:rPr>
        <w:t>.加强预算管理。</w:t>
      </w:r>
      <w:r>
        <w:rPr>
          <w:rFonts w:hint="eastAsia" w:eastAsia="仿宋_GB2312"/>
          <w:sz w:val="32"/>
          <w:szCs w:val="32"/>
        </w:rPr>
        <w:t>建议将本次绩效评价结果作为下一年度财政资金预算安排的依据之一，加强项目实施单位申报、审核、审批等环节管理，统筹安排财政资金，</w:t>
      </w:r>
      <w:r>
        <w:rPr>
          <w:rFonts w:hint="eastAsia" w:ascii="仿宋_GB2312" w:hAnsi="仿宋" w:eastAsia="仿宋_GB2312"/>
          <w:sz w:val="32"/>
          <w:szCs w:val="32"/>
        </w:rPr>
        <w:t>提高财政资金的社会效益和可持续影响。</w:t>
      </w:r>
    </w:p>
    <w:p>
      <w:pPr>
        <w:pStyle w:val="2"/>
      </w:pPr>
    </w:p>
    <w:p>
      <w:pPr>
        <w:ind w:firstLine="640" w:firstLineChars="200"/>
        <w:rPr>
          <w:rFonts w:ascii="仿宋" w:hAnsi="仿宋" w:eastAsia="仿宋" w:cs="仿宋"/>
          <w:sz w:val="32"/>
          <w:szCs w:val="32"/>
        </w:rPr>
        <w:sectPr>
          <w:headerReference r:id="rId7" w:type="default"/>
          <w:footerReference r:id="rId9" w:type="default"/>
          <w:headerReference r:id="rId8" w:type="even"/>
          <w:footerReference r:id="rId10" w:type="even"/>
          <w:pgSz w:w="11906" w:h="16838"/>
          <w:pgMar w:top="2098" w:right="1531" w:bottom="1985" w:left="1531" w:header="964" w:footer="1021" w:gutter="0"/>
          <w:pgNumType w:fmt="numberInDash"/>
          <w:cols w:space="720" w:num="1"/>
          <w:docGrid w:linePitch="312" w:charSpace="0"/>
        </w:sectPr>
      </w:pPr>
    </w:p>
    <w:p>
      <w:pPr>
        <w:ind w:firstLine="640" w:firstLineChars="200"/>
        <w:rPr>
          <w:rFonts w:ascii="仿宋_GB2312" w:hAnsi="仿宋" w:eastAsia="仿宋_GB2312" w:cs="仿宋"/>
          <w:sz w:val="32"/>
          <w:szCs w:val="32"/>
        </w:rPr>
      </w:pPr>
      <w:r>
        <w:rPr>
          <w:rFonts w:hint="eastAsia" w:ascii="仿宋" w:hAnsi="仿宋" w:eastAsia="仿宋" w:cs="仿宋"/>
          <w:sz w:val="32"/>
          <w:szCs w:val="32"/>
        </w:rPr>
        <w:t>附件：</w:t>
      </w:r>
    </w:p>
    <w:p>
      <w:pPr>
        <w:ind w:firstLine="640" w:firstLineChars="200"/>
        <w:rPr>
          <w:rFonts w:ascii="仿宋" w:hAnsi="仿宋" w:eastAsia="仿宋" w:cs="仿宋"/>
          <w:sz w:val="32"/>
          <w:szCs w:val="32"/>
        </w:rPr>
      </w:pPr>
      <w:r>
        <w:rPr>
          <w:rFonts w:hint="eastAsia" w:ascii="Times New Roman" w:hAnsi="Times New Roman" w:eastAsia="仿宋" w:cs="仿宋"/>
          <w:sz w:val="32"/>
          <w:szCs w:val="32"/>
        </w:rPr>
        <w:t>1</w:t>
      </w:r>
      <w:r>
        <w:rPr>
          <w:rFonts w:hint="eastAsia" w:ascii="仿宋" w:hAnsi="仿宋" w:eastAsia="仿宋" w:cs="仿宋"/>
          <w:sz w:val="32"/>
          <w:szCs w:val="32"/>
        </w:rPr>
        <w:t>.绩效评价指标体系</w:t>
      </w:r>
    </w:p>
    <w:p>
      <w:pPr>
        <w:ind w:firstLine="640" w:firstLineChars="200"/>
        <w:rPr>
          <w:rFonts w:ascii="仿宋" w:hAnsi="仿宋" w:eastAsia="仿宋" w:cs="仿宋"/>
          <w:sz w:val="32"/>
          <w:szCs w:val="32"/>
        </w:rPr>
      </w:pPr>
      <w:r>
        <w:rPr>
          <w:rFonts w:hint="eastAsia" w:ascii="Times New Roman" w:hAnsi="Times New Roman" w:eastAsia="仿宋" w:cs="仿宋"/>
          <w:sz w:val="32"/>
          <w:szCs w:val="32"/>
        </w:rPr>
        <w:t>2</w:t>
      </w:r>
      <w:r>
        <w:rPr>
          <w:rFonts w:hint="eastAsia" w:ascii="仿宋" w:hAnsi="仿宋" w:eastAsia="仿宋" w:cs="仿宋"/>
          <w:sz w:val="32"/>
          <w:szCs w:val="32"/>
        </w:rPr>
        <w:t>.绩效评价指标打分表</w:t>
      </w:r>
    </w:p>
    <w:p>
      <w:pPr>
        <w:ind w:firstLine="640" w:firstLineChars="200"/>
        <w:rPr>
          <w:rFonts w:ascii="仿宋" w:hAnsi="仿宋" w:eastAsia="仿宋" w:cs="仿宋"/>
          <w:sz w:val="32"/>
          <w:szCs w:val="32"/>
        </w:rPr>
      </w:pPr>
      <w:r>
        <w:rPr>
          <w:rFonts w:hint="eastAsia" w:ascii="Times New Roman" w:hAnsi="Times New Roman" w:eastAsia="仿宋" w:cs="仿宋"/>
          <w:sz w:val="32"/>
          <w:szCs w:val="32"/>
        </w:rPr>
        <w:t>3</w:t>
      </w:r>
      <w:r>
        <w:rPr>
          <w:rFonts w:hint="eastAsia" w:ascii="仿宋" w:hAnsi="仿宋" w:eastAsia="仿宋" w:cs="仿宋"/>
          <w:sz w:val="32"/>
          <w:szCs w:val="32"/>
        </w:rPr>
        <w:t>.</w:t>
      </w:r>
      <w:r>
        <w:rPr>
          <w:rFonts w:ascii="仿宋" w:hAnsi="仿宋" w:eastAsia="仿宋" w:cs="仿宋"/>
          <w:sz w:val="32"/>
          <w:szCs w:val="32"/>
        </w:rPr>
        <w:t>满意度调查问卷</w:t>
      </w:r>
    </w:p>
    <w:p>
      <w:pPr>
        <w:ind w:firstLine="640" w:firstLineChars="200"/>
        <w:rPr>
          <w:rFonts w:ascii="仿宋" w:hAnsi="仿宋" w:eastAsia="仿宋" w:cs="仿宋"/>
          <w:sz w:val="32"/>
          <w:szCs w:val="32"/>
        </w:rPr>
      </w:pPr>
      <w:r>
        <w:rPr>
          <w:rFonts w:hint="eastAsia" w:ascii="Times New Roman" w:hAnsi="Times New Roman" w:eastAsia="仿宋" w:cs="仿宋"/>
          <w:sz w:val="32"/>
          <w:szCs w:val="32"/>
        </w:rPr>
        <w:t>4</w:t>
      </w:r>
      <w:r>
        <w:rPr>
          <w:rFonts w:hint="eastAsia" w:ascii="仿宋" w:hAnsi="仿宋" w:eastAsia="仿宋" w:cs="仿宋"/>
          <w:sz w:val="32"/>
          <w:szCs w:val="32"/>
        </w:rPr>
        <w:t>.</w:t>
      </w:r>
      <w:r>
        <w:rPr>
          <w:rFonts w:ascii="仿宋" w:hAnsi="仿宋" w:eastAsia="仿宋" w:cs="仿宋"/>
          <w:sz w:val="32"/>
          <w:szCs w:val="32"/>
        </w:rPr>
        <w:t>满意度调查问卷分析报告</w:t>
      </w:r>
    </w:p>
    <w:p>
      <w:pPr>
        <w:ind w:firstLine="640" w:firstLineChars="200"/>
        <w:rPr>
          <w:rFonts w:ascii="仿宋" w:hAnsi="仿宋" w:eastAsia="仿宋" w:cs="仿宋"/>
          <w:sz w:val="32"/>
          <w:szCs w:val="32"/>
        </w:rPr>
      </w:pPr>
    </w:p>
    <w:p>
      <w:pPr>
        <w:pStyle w:val="2"/>
      </w:pPr>
    </w:p>
    <w:p>
      <w:pPr>
        <w:jc w:val="right"/>
        <w:rPr>
          <w:rFonts w:ascii="仿宋" w:hAnsi="仿宋" w:eastAsia="仿宋" w:cs="仿宋"/>
          <w:sz w:val="32"/>
          <w:szCs w:val="32"/>
        </w:rPr>
      </w:pPr>
      <w:r>
        <w:rPr>
          <w:rFonts w:hint="eastAsia" w:ascii="仿宋" w:hAnsi="仿宋" w:eastAsia="仿宋" w:cs="仿宋"/>
          <w:sz w:val="32"/>
          <w:szCs w:val="32"/>
        </w:rPr>
        <w:t>山西国元会计师事务所（有限公司）</w:t>
      </w:r>
    </w:p>
    <w:p>
      <w:pPr>
        <w:ind w:right="1280" w:firstLine="640" w:firstLineChars="200"/>
        <w:jc w:val="center"/>
        <w:rPr>
          <w:rFonts w:ascii="仿宋" w:hAnsi="仿宋" w:eastAsia="仿宋" w:cs="仿宋"/>
          <w:sz w:val="32"/>
          <w:szCs w:val="32"/>
        </w:rPr>
      </w:pPr>
      <w:r>
        <w:rPr>
          <w:rFonts w:hint="eastAsia" w:ascii="仿宋" w:hAnsi="仿宋" w:eastAsia="仿宋" w:cs="仿宋"/>
          <w:sz w:val="32"/>
          <w:szCs w:val="32"/>
        </w:rPr>
        <w:t xml:space="preserve">                         二〇二〇年</w:t>
      </w:r>
      <w:r>
        <w:rPr>
          <w:rFonts w:hint="eastAsia" w:ascii="仿宋" w:hAnsi="仿宋" w:eastAsia="仿宋" w:cs="仿宋"/>
          <w:sz w:val="32"/>
          <w:szCs w:val="32"/>
          <w:lang w:val="en-US" w:eastAsia="zh-CN"/>
        </w:rPr>
        <w:t>九</w:t>
      </w:r>
      <w:r>
        <w:rPr>
          <w:rFonts w:hint="eastAsia" w:ascii="仿宋" w:hAnsi="仿宋" w:eastAsia="仿宋" w:cs="仿宋"/>
          <w:sz w:val="32"/>
          <w:szCs w:val="32"/>
        </w:rPr>
        <w:t>月</w:t>
      </w:r>
    </w:p>
    <w:p>
      <w:pPr>
        <w:ind w:firstLine="640" w:firstLineChars="200"/>
        <w:rPr>
          <w:rFonts w:ascii="仿宋" w:hAnsi="仿宋" w:eastAsia="仿宋" w:cs="仿宋"/>
          <w:sz w:val="32"/>
          <w:szCs w:val="32"/>
        </w:rPr>
        <w:sectPr>
          <w:pgSz w:w="11906" w:h="16838"/>
          <w:pgMar w:top="2098" w:right="1531" w:bottom="1985" w:left="1531" w:header="964" w:footer="1021" w:gutter="0"/>
          <w:pgNumType w:fmt="numberInDash"/>
          <w:cols w:space="720" w:num="1"/>
          <w:docGrid w:linePitch="312" w:charSpace="0"/>
        </w:sectPr>
      </w:pPr>
    </w:p>
    <w:p>
      <w:pPr>
        <w:tabs>
          <w:tab w:val="left" w:pos="1250"/>
        </w:tabs>
        <w:spacing w:after="240" w:afterLines="100" w:line="400" w:lineRule="exact"/>
        <w:outlineLvl w:val="0"/>
        <w:rPr>
          <w:rFonts w:ascii="黑体" w:hAnsi="黑体" w:eastAsia="黑体" w:cs="Times New Roman"/>
          <w:sz w:val="30"/>
          <w:szCs w:val="30"/>
        </w:rPr>
      </w:pPr>
      <w:bookmarkStart w:id="83" w:name="_Toc16529593"/>
      <w:bookmarkStart w:id="84" w:name="_Toc15844065"/>
      <w:bookmarkStart w:id="85" w:name="_Toc17294839"/>
      <w:bookmarkStart w:id="86" w:name="_Toc31640"/>
      <w:r>
        <w:rPr>
          <w:rFonts w:hint="eastAsia" w:ascii="黑体" w:hAnsi="黑体" w:eastAsia="黑体" w:cs="Times New Roman"/>
          <w:sz w:val="30"/>
          <w:szCs w:val="30"/>
        </w:rPr>
        <w:t>附件</w:t>
      </w:r>
      <w:r>
        <w:rPr>
          <w:rFonts w:hint="eastAsia" w:ascii="Times New Roman" w:hAnsi="Times New Roman" w:eastAsia="黑体" w:cs="Times New Roman"/>
          <w:sz w:val="30"/>
          <w:szCs w:val="30"/>
        </w:rPr>
        <w:t>1</w:t>
      </w:r>
      <w:r>
        <w:rPr>
          <w:rFonts w:hint="eastAsia" w:ascii="黑体" w:hAnsi="黑体" w:eastAsia="黑体" w:cs="Times New Roman"/>
          <w:sz w:val="30"/>
          <w:szCs w:val="30"/>
        </w:rPr>
        <w:t>：</w:t>
      </w:r>
      <w:bookmarkEnd w:id="83"/>
      <w:bookmarkEnd w:id="84"/>
      <w:bookmarkEnd w:id="85"/>
      <w:bookmarkEnd w:id="86"/>
    </w:p>
    <w:p>
      <w:pPr>
        <w:spacing w:line="600" w:lineRule="exact"/>
        <w:jc w:val="center"/>
        <w:rPr>
          <w:rFonts w:ascii="黑体" w:hAnsi="黑体" w:eastAsia="黑体" w:cs="Times New Roman"/>
          <w:sz w:val="32"/>
          <w:szCs w:val="32"/>
        </w:rPr>
      </w:pPr>
      <w:bookmarkStart w:id="87" w:name="_Toc17294840"/>
      <w:bookmarkStart w:id="88" w:name="_Toc15844066"/>
      <w:bookmarkStart w:id="89" w:name="_Toc16529594"/>
      <w:r>
        <w:rPr>
          <w:rFonts w:hint="eastAsia" w:ascii="Times New Roman" w:hAnsi="Times New Roman" w:eastAsia="黑体" w:cs="Times New Roman"/>
          <w:sz w:val="32"/>
          <w:szCs w:val="32"/>
        </w:rPr>
        <w:t>2019年平陆县圣人涧镇营村村一组至二组道路建设工程项目</w:t>
      </w:r>
      <w:r>
        <w:rPr>
          <w:rFonts w:ascii="黑体" w:hAnsi="黑体" w:eastAsia="黑体" w:cs="Times New Roman"/>
          <w:sz w:val="32"/>
          <w:szCs w:val="32"/>
        </w:rPr>
        <w:t>绩效评价指标体系</w:t>
      </w:r>
    </w:p>
    <w:tbl>
      <w:tblPr>
        <w:tblStyle w:val="18"/>
        <w:tblW w:w="8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707"/>
        <w:gridCol w:w="1573"/>
        <w:gridCol w:w="693"/>
        <w:gridCol w:w="3840"/>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blHeader/>
          <w:jc w:val="center"/>
        </w:trPr>
        <w:tc>
          <w:tcPr>
            <w:tcW w:w="1055" w:type="dxa"/>
            <w:shd w:val="clear" w:color="auto" w:fill="A5A5A5" w:themeFill="background1" w:themeFillShade="A6"/>
            <w:vAlign w:val="center"/>
          </w:tcPr>
          <w:p>
            <w:pPr>
              <w:snapToGrid w:val="0"/>
              <w:spacing w:line="240" w:lineRule="auto"/>
              <w:jc w:val="center"/>
              <w:rPr>
                <w:rFonts w:cs="仿宋_GB2312"/>
                <w:b/>
                <w:sz w:val="20"/>
                <w:szCs w:val="20"/>
              </w:rPr>
            </w:pPr>
            <w:r>
              <w:rPr>
                <w:rFonts w:hint="eastAsia" w:cs="仿宋_GB2312"/>
                <w:b/>
                <w:sz w:val="20"/>
                <w:szCs w:val="20"/>
              </w:rPr>
              <w:t>一级指标</w:t>
            </w:r>
          </w:p>
        </w:tc>
        <w:tc>
          <w:tcPr>
            <w:tcW w:w="707" w:type="dxa"/>
            <w:shd w:val="clear" w:color="auto" w:fill="A5A5A5" w:themeFill="background1" w:themeFillShade="A6"/>
            <w:vAlign w:val="center"/>
          </w:tcPr>
          <w:p>
            <w:pPr>
              <w:snapToGrid w:val="0"/>
              <w:spacing w:line="240" w:lineRule="auto"/>
              <w:jc w:val="center"/>
              <w:rPr>
                <w:rFonts w:cs="仿宋_GB2312"/>
                <w:b/>
                <w:sz w:val="20"/>
                <w:szCs w:val="20"/>
              </w:rPr>
            </w:pPr>
            <w:r>
              <w:rPr>
                <w:rFonts w:hint="eastAsia" w:cs="仿宋_GB2312"/>
                <w:b/>
                <w:sz w:val="20"/>
                <w:szCs w:val="20"/>
              </w:rPr>
              <w:t>分值</w:t>
            </w:r>
          </w:p>
        </w:tc>
        <w:tc>
          <w:tcPr>
            <w:tcW w:w="1573" w:type="dxa"/>
            <w:shd w:val="clear" w:color="auto" w:fill="A5A5A5" w:themeFill="background1" w:themeFillShade="A6"/>
            <w:vAlign w:val="center"/>
          </w:tcPr>
          <w:p>
            <w:pPr>
              <w:snapToGrid w:val="0"/>
              <w:spacing w:line="240" w:lineRule="auto"/>
              <w:jc w:val="center"/>
              <w:rPr>
                <w:rFonts w:cs="仿宋_GB2312"/>
                <w:b/>
                <w:sz w:val="20"/>
                <w:szCs w:val="20"/>
              </w:rPr>
            </w:pPr>
            <w:r>
              <w:rPr>
                <w:rFonts w:hint="eastAsia" w:cs="仿宋_GB2312"/>
                <w:b/>
                <w:sz w:val="20"/>
                <w:szCs w:val="20"/>
              </w:rPr>
              <w:t>二级指标</w:t>
            </w:r>
          </w:p>
        </w:tc>
        <w:tc>
          <w:tcPr>
            <w:tcW w:w="693" w:type="dxa"/>
            <w:shd w:val="clear" w:color="auto" w:fill="A5A5A5" w:themeFill="background1" w:themeFillShade="A6"/>
            <w:vAlign w:val="center"/>
          </w:tcPr>
          <w:p>
            <w:pPr>
              <w:snapToGrid w:val="0"/>
              <w:spacing w:line="240" w:lineRule="auto"/>
              <w:jc w:val="center"/>
              <w:rPr>
                <w:rFonts w:cs="仿宋_GB2312"/>
                <w:b/>
                <w:sz w:val="20"/>
                <w:szCs w:val="20"/>
              </w:rPr>
            </w:pPr>
            <w:r>
              <w:rPr>
                <w:rFonts w:hint="eastAsia" w:cs="仿宋_GB2312"/>
                <w:b/>
                <w:sz w:val="20"/>
                <w:szCs w:val="20"/>
              </w:rPr>
              <w:t>分值</w:t>
            </w:r>
          </w:p>
        </w:tc>
        <w:tc>
          <w:tcPr>
            <w:tcW w:w="3840" w:type="dxa"/>
            <w:shd w:val="clear" w:color="auto" w:fill="A5A5A5" w:themeFill="background1" w:themeFillShade="A6"/>
            <w:vAlign w:val="center"/>
          </w:tcPr>
          <w:p>
            <w:pPr>
              <w:snapToGrid w:val="0"/>
              <w:spacing w:line="240" w:lineRule="auto"/>
              <w:jc w:val="center"/>
              <w:rPr>
                <w:rFonts w:cs="仿宋_GB2312"/>
                <w:b/>
                <w:sz w:val="20"/>
                <w:szCs w:val="20"/>
              </w:rPr>
            </w:pPr>
            <w:r>
              <w:rPr>
                <w:rFonts w:hint="eastAsia" w:cs="仿宋_GB2312"/>
                <w:b/>
                <w:sz w:val="20"/>
                <w:szCs w:val="20"/>
              </w:rPr>
              <w:t>三级指标</w:t>
            </w:r>
          </w:p>
        </w:tc>
        <w:tc>
          <w:tcPr>
            <w:tcW w:w="708" w:type="dxa"/>
            <w:shd w:val="clear" w:color="auto" w:fill="A5A5A5" w:themeFill="background1" w:themeFillShade="A6"/>
            <w:vAlign w:val="center"/>
          </w:tcPr>
          <w:p>
            <w:pPr>
              <w:snapToGrid w:val="0"/>
              <w:spacing w:line="240" w:lineRule="auto"/>
              <w:jc w:val="center"/>
              <w:rPr>
                <w:rFonts w:cs="仿宋_GB2312"/>
                <w:b/>
                <w:sz w:val="20"/>
                <w:szCs w:val="20"/>
              </w:rPr>
            </w:pPr>
            <w:r>
              <w:rPr>
                <w:rFonts w:hint="eastAsia" w:cs="仿宋_GB2312"/>
                <w:b/>
                <w:sz w:val="20"/>
                <w:szCs w:val="2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55" w:type="dxa"/>
            <w:vMerge w:val="restart"/>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A</w:t>
            </w:r>
            <w:r>
              <w:rPr>
                <w:rFonts w:cs="仿宋"/>
                <w:sz w:val="20"/>
                <w:szCs w:val="20"/>
              </w:rPr>
              <w:t>决策</w:t>
            </w:r>
          </w:p>
        </w:tc>
        <w:tc>
          <w:tcPr>
            <w:tcW w:w="707" w:type="dxa"/>
            <w:vMerge w:val="restart"/>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20</w:t>
            </w:r>
          </w:p>
        </w:tc>
        <w:tc>
          <w:tcPr>
            <w:tcW w:w="1573" w:type="dxa"/>
            <w:vMerge w:val="restart"/>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A1</w:t>
            </w:r>
            <w:r>
              <w:rPr>
                <w:rFonts w:hint="eastAsia" w:cs="仿宋"/>
                <w:sz w:val="20"/>
                <w:szCs w:val="20"/>
              </w:rPr>
              <w:t>项目立项</w:t>
            </w:r>
          </w:p>
        </w:tc>
        <w:tc>
          <w:tcPr>
            <w:tcW w:w="693" w:type="dxa"/>
            <w:vMerge w:val="restart"/>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10</w:t>
            </w:r>
          </w:p>
        </w:tc>
        <w:tc>
          <w:tcPr>
            <w:tcW w:w="3840"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A11</w:t>
            </w:r>
            <w:r>
              <w:rPr>
                <w:rFonts w:cs="仿宋"/>
                <w:sz w:val="20"/>
                <w:szCs w:val="20"/>
              </w:rPr>
              <w:t>立项依据充分性</w:t>
            </w:r>
          </w:p>
        </w:tc>
        <w:tc>
          <w:tcPr>
            <w:tcW w:w="708"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55" w:type="dxa"/>
            <w:vMerge w:val="continue"/>
            <w:vAlign w:val="center"/>
          </w:tcPr>
          <w:p>
            <w:pPr>
              <w:snapToGrid w:val="0"/>
              <w:spacing w:line="240" w:lineRule="auto"/>
              <w:jc w:val="center"/>
              <w:rPr>
                <w:color w:val="000000"/>
                <w:sz w:val="20"/>
                <w:szCs w:val="20"/>
              </w:rPr>
            </w:pPr>
          </w:p>
        </w:tc>
        <w:tc>
          <w:tcPr>
            <w:tcW w:w="707" w:type="dxa"/>
            <w:vMerge w:val="continue"/>
            <w:vAlign w:val="center"/>
          </w:tcPr>
          <w:p>
            <w:pPr>
              <w:snapToGrid w:val="0"/>
              <w:spacing w:line="240" w:lineRule="auto"/>
              <w:jc w:val="center"/>
              <w:rPr>
                <w:color w:val="000000"/>
                <w:sz w:val="20"/>
                <w:szCs w:val="20"/>
              </w:rPr>
            </w:pPr>
          </w:p>
        </w:tc>
        <w:tc>
          <w:tcPr>
            <w:tcW w:w="1573" w:type="dxa"/>
            <w:vMerge w:val="continue"/>
            <w:vAlign w:val="center"/>
          </w:tcPr>
          <w:p>
            <w:pPr>
              <w:snapToGrid w:val="0"/>
              <w:spacing w:line="240" w:lineRule="auto"/>
              <w:jc w:val="center"/>
              <w:rPr>
                <w:color w:val="000000"/>
                <w:sz w:val="20"/>
                <w:szCs w:val="20"/>
              </w:rPr>
            </w:pPr>
          </w:p>
        </w:tc>
        <w:tc>
          <w:tcPr>
            <w:tcW w:w="693" w:type="dxa"/>
            <w:vMerge w:val="continue"/>
            <w:vAlign w:val="center"/>
          </w:tcPr>
          <w:p>
            <w:pPr>
              <w:snapToGrid w:val="0"/>
              <w:spacing w:line="240" w:lineRule="auto"/>
              <w:jc w:val="center"/>
              <w:rPr>
                <w:color w:val="000000"/>
                <w:sz w:val="20"/>
                <w:szCs w:val="20"/>
              </w:rPr>
            </w:pPr>
          </w:p>
        </w:tc>
        <w:tc>
          <w:tcPr>
            <w:tcW w:w="3840" w:type="dxa"/>
            <w:shd w:val="clear" w:color="auto" w:fill="auto"/>
            <w:vAlign w:val="center"/>
          </w:tcPr>
          <w:p>
            <w:pPr>
              <w:snapToGrid w:val="0"/>
              <w:spacing w:line="240" w:lineRule="auto"/>
              <w:jc w:val="center"/>
              <w:rPr>
                <w:color w:val="000000"/>
                <w:sz w:val="20"/>
                <w:szCs w:val="20"/>
              </w:rPr>
            </w:pPr>
            <w:r>
              <w:rPr>
                <w:rFonts w:hint="eastAsia" w:ascii="Times New Roman" w:hAnsi="Times New Roman" w:cs="仿宋"/>
                <w:sz w:val="20"/>
                <w:szCs w:val="20"/>
              </w:rPr>
              <w:t>A12</w:t>
            </w:r>
            <w:r>
              <w:rPr>
                <w:rFonts w:cs="仿宋"/>
                <w:sz w:val="20"/>
                <w:szCs w:val="20"/>
              </w:rPr>
              <w:t>立项程序规范性</w:t>
            </w:r>
          </w:p>
        </w:tc>
        <w:tc>
          <w:tcPr>
            <w:tcW w:w="708"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55" w:type="dxa"/>
            <w:vMerge w:val="continue"/>
            <w:vAlign w:val="center"/>
          </w:tcPr>
          <w:p>
            <w:pPr>
              <w:snapToGrid w:val="0"/>
              <w:spacing w:line="240" w:lineRule="auto"/>
              <w:jc w:val="center"/>
              <w:rPr>
                <w:color w:val="000000"/>
                <w:sz w:val="20"/>
                <w:szCs w:val="20"/>
              </w:rPr>
            </w:pPr>
          </w:p>
        </w:tc>
        <w:tc>
          <w:tcPr>
            <w:tcW w:w="707" w:type="dxa"/>
            <w:vMerge w:val="continue"/>
            <w:vAlign w:val="center"/>
          </w:tcPr>
          <w:p>
            <w:pPr>
              <w:snapToGrid w:val="0"/>
              <w:spacing w:line="240" w:lineRule="auto"/>
              <w:jc w:val="center"/>
              <w:rPr>
                <w:color w:val="000000"/>
                <w:sz w:val="20"/>
                <w:szCs w:val="20"/>
              </w:rPr>
            </w:pPr>
          </w:p>
        </w:tc>
        <w:tc>
          <w:tcPr>
            <w:tcW w:w="1573" w:type="dxa"/>
            <w:vMerge w:val="restart"/>
            <w:vAlign w:val="center"/>
          </w:tcPr>
          <w:p>
            <w:pPr>
              <w:snapToGrid w:val="0"/>
              <w:spacing w:line="240" w:lineRule="auto"/>
              <w:jc w:val="center"/>
              <w:rPr>
                <w:color w:val="000000"/>
                <w:sz w:val="20"/>
                <w:szCs w:val="20"/>
              </w:rPr>
            </w:pPr>
            <w:r>
              <w:rPr>
                <w:rFonts w:hint="eastAsia" w:ascii="Times New Roman" w:hAnsi="Times New Roman" w:cs="仿宋"/>
                <w:sz w:val="20"/>
                <w:szCs w:val="20"/>
              </w:rPr>
              <w:t>A2</w:t>
            </w:r>
            <w:r>
              <w:rPr>
                <w:rFonts w:hint="eastAsia" w:cs="仿宋"/>
                <w:sz w:val="20"/>
                <w:szCs w:val="20"/>
              </w:rPr>
              <w:t>绩效目标</w:t>
            </w:r>
          </w:p>
        </w:tc>
        <w:tc>
          <w:tcPr>
            <w:tcW w:w="693" w:type="dxa"/>
            <w:vMerge w:val="restart"/>
            <w:vAlign w:val="center"/>
          </w:tcPr>
          <w:p>
            <w:pPr>
              <w:snapToGrid w:val="0"/>
              <w:spacing w:line="240" w:lineRule="auto"/>
              <w:jc w:val="center"/>
              <w:rPr>
                <w:color w:val="000000"/>
                <w:sz w:val="20"/>
                <w:szCs w:val="20"/>
              </w:rPr>
            </w:pPr>
            <w:r>
              <w:rPr>
                <w:rFonts w:hint="eastAsia" w:ascii="Times New Roman" w:hAnsi="Times New Roman" w:cs="仿宋"/>
                <w:sz w:val="20"/>
                <w:szCs w:val="20"/>
              </w:rPr>
              <w:t>4</w:t>
            </w:r>
          </w:p>
        </w:tc>
        <w:tc>
          <w:tcPr>
            <w:tcW w:w="3840" w:type="dxa"/>
            <w:shd w:val="clear" w:color="auto" w:fill="auto"/>
            <w:vAlign w:val="center"/>
          </w:tcPr>
          <w:p>
            <w:pPr>
              <w:snapToGrid w:val="0"/>
              <w:spacing w:line="240" w:lineRule="auto"/>
              <w:jc w:val="center"/>
              <w:rPr>
                <w:color w:val="000000"/>
                <w:sz w:val="20"/>
                <w:szCs w:val="20"/>
              </w:rPr>
            </w:pPr>
            <w:r>
              <w:rPr>
                <w:rFonts w:hint="eastAsia" w:ascii="Times New Roman" w:hAnsi="Times New Roman" w:cs="仿宋"/>
                <w:sz w:val="20"/>
                <w:szCs w:val="20"/>
              </w:rPr>
              <w:t>A21</w:t>
            </w:r>
            <w:r>
              <w:rPr>
                <w:rFonts w:cs="仿宋"/>
                <w:sz w:val="20"/>
                <w:szCs w:val="20"/>
              </w:rPr>
              <w:t>绩效目标合理性</w:t>
            </w:r>
          </w:p>
        </w:tc>
        <w:tc>
          <w:tcPr>
            <w:tcW w:w="708"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55" w:type="dxa"/>
            <w:vMerge w:val="continue"/>
            <w:vAlign w:val="center"/>
          </w:tcPr>
          <w:p>
            <w:pPr>
              <w:snapToGrid w:val="0"/>
              <w:spacing w:line="240" w:lineRule="auto"/>
              <w:jc w:val="center"/>
              <w:rPr>
                <w:color w:val="000000"/>
                <w:sz w:val="20"/>
                <w:szCs w:val="20"/>
              </w:rPr>
            </w:pPr>
          </w:p>
        </w:tc>
        <w:tc>
          <w:tcPr>
            <w:tcW w:w="707" w:type="dxa"/>
            <w:vMerge w:val="continue"/>
            <w:vAlign w:val="center"/>
          </w:tcPr>
          <w:p>
            <w:pPr>
              <w:snapToGrid w:val="0"/>
              <w:spacing w:line="240" w:lineRule="auto"/>
              <w:jc w:val="center"/>
              <w:rPr>
                <w:color w:val="000000"/>
                <w:sz w:val="20"/>
                <w:szCs w:val="20"/>
              </w:rPr>
            </w:pPr>
          </w:p>
        </w:tc>
        <w:tc>
          <w:tcPr>
            <w:tcW w:w="1573" w:type="dxa"/>
            <w:vMerge w:val="continue"/>
            <w:vAlign w:val="center"/>
          </w:tcPr>
          <w:p>
            <w:pPr>
              <w:snapToGrid w:val="0"/>
              <w:spacing w:line="240" w:lineRule="auto"/>
              <w:jc w:val="center"/>
              <w:rPr>
                <w:color w:val="000000"/>
                <w:sz w:val="20"/>
                <w:szCs w:val="20"/>
              </w:rPr>
            </w:pPr>
          </w:p>
        </w:tc>
        <w:tc>
          <w:tcPr>
            <w:tcW w:w="693" w:type="dxa"/>
            <w:vMerge w:val="continue"/>
            <w:vAlign w:val="center"/>
          </w:tcPr>
          <w:p>
            <w:pPr>
              <w:snapToGrid w:val="0"/>
              <w:spacing w:line="240" w:lineRule="auto"/>
              <w:jc w:val="center"/>
              <w:rPr>
                <w:color w:val="000000"/>
                <w:sz w:val="20"/>
                <w:szCs w:val="20"/>
              </w:rPr>
            </w:pPr>
          </w:p>
        </w:tc>
        <w:tc>
          <w:tcPr>
            <w:tcW w:w="3840" w:type="dxa"/>
            <w:shd w:val="clear" w:color="auto" w:fill="auto"/>
            <w:vAlign w:val="center"/>
          </w:tcPr>
          <w:p>
            <w:pPr>
              <w:snapToGrid w:val="0"/>
              <w:spacing w:line="240" w:lineRule="auto"/>
              <w:jc w:val="center"/>
              <w:rPr>
                <w:color w:val="000000"/>
                <w:sz w:val="20"/>
                <w:szCs w:val="20"/>
              </w:rPr>
            </w:pPr>
            <w:r>
              <w:rPr>
                <w:rFonts w:hint="eastAsia" w:ascii="Times New Roman" w:hAnsi="Times New Roman" w:cs="仿宋"/>
                <w:sz w:val="20"/>
                <w:szCs w:val="20"/>
              </w:rPr>
              <w:t>A22</w:t>
            </w:r>
            <w:r>
              <w:rPr>
                <w:rFonts w:cs="仿宋"/>
                <w:sz w:val="20"/>
                <w:szCs w:val="20"/>
              </w:rPr>
              <w:t>绩效指标明确性</w:t>
            </w:r>
          </w:p>
        </w:tc>
        <w:tc>
          <w:tcPr>
            <w:tcW w:w="708"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55" w:type="dxa"/>
            <w:vMerge w:val="continue"/>
            <w:vAlign w:val="center"/>
          </w:tcPr>
          <w:p>
            <w:pPr>
              <w:snapToGrid w:val="0"/>
              <w:spacing w:line="240" w:lineRule="auto"/>
              <w:jc w:val="center"/>
              <w:rPr>
                <w:color w:val="000000"/>
                <w:sz w:val="20"/>
                <w:szCs w:val="20"/>
              </w:rPr>
            </w:pPr>
          </w:p>
        </w:tc>
        <w:tc>
          <w:tcPr>
            <w:tcW w:w="707" w:type="dxa"/>
            <w:vMerge w:val="continue"/>
            <w:vAlign w:val="center"/>
          </w:tcPr>
          <w:p>
            <w:pPr>
              <w:snapToGrid w:val="0"/>
              <w:spacing w:line="240" w:lineRule="auto"/>
              <w:jc w:val="center"/>
              <w:rPr>
                <w:color w:val="000000"/>
                <w:sz w:val="20"/>
                <w:szCs w:val="20"/>
              </w:rPr>
            </w:pPr>
          </w:p>
        </w:tc>
        <w:tc>
          <w:tcPr>
            <w:tcW w:w="1573" w:type="dxa"/>
            <w:vMerge w:val="restart"/>
            <w:vAlign w:val="center"/>
          </w:tcPr>
          <w:p>
            <w:pPr>
              <w:snapToGrid w:val="0"/>
              <w:spacing w:line="240" w:lineRule="auto"/>
              <w:jc w:val="center"/>
              <w:rPr>
                <w:color w:val="000000"/>
                <w:sz w:val="20"/>
                <w:szCs w:val="20"/>
              </w:rPr>
            </w:pPr>
            <w:r>
              <w:rPr>
                <w:rFonts w:hint="eastAsia" w:ascii="Times New Roman" w:hAnsi="Times New Roman" w:cs="仿宋"/>
                <w:sz w:val="20"/>
                <w:szCs w:val="20"/>
              </w:rPr>
              <w:t>A3</w:t>
            </w:r>
            <w:r>
              <w:rPr>
                <w:rFonts w:hint="eastAsia" w:cs="仿宋"/>
                <w:sz w:val="20"/>
                <w:szCs w:val="20"/>
              </w:rPr>
              <w:t>资金投入</w:t>
            </w:r>
          </w:p>
        </w:tc>
        <w:tc>
          <w:tcPr>
            <w:tcW w:w="693" w:type="dxa"/>
            <w:vMerge w:val="restart"/>
            <w:vAlign w:val="center"/>
          </w:tcPr>
          <w:p>
            <w:pPr>
              <w:snapToGrid w:val="0"/>
              <w:spacing w:line="240" w:lineRule="auto"/>
              <w:jc w:val="center"/>
              <w:rPr>
                <w:color w:val="000000"/>
                <w:sz w:val="20"/>
                <w:szCs w:val="20"/>
              </w:rPr>
            </w:pPr>
            <w:r>
              <w:rPr>
                <w:rFonts w:hint="eastAsia" w:ascii="Times New Roman" w:hAnsi="Times New Roman" w:cs="仿宋"/>
                <w:sz w:val="20"/>
                <w:szCs w:val="20"/>
              </w:rPr>
              <w:t>6</w:t>
            </w:r>
          </w:p>
        </w:tc>
        <w:tc>
          <w:tcPr>
            <w:tcW w:w="3840" w:type="dxa"/>
            <w:shd w:val="clear" w:color="auto" w:fill="auto"/>
            <w:vAlign w:val="center"/>
          </w:tcPr>
          <w:p>
            <w:pPr>
              <w:snapToGrid w:val="0"/>
              <w:spacing w:line="240" w:lineRule="auto"/>
              <w:jc w:val="center"/>
              <w:rPr>
                <w:color w:val="000000"/>
                <w:sz w:val="20"/>
                <w:szCs w:val="20"/>
              </w:rPr>
            </w:pPr>
            <w:r>
              <w:rPr>
                <w:rFonts w:hint="eastAsia" w:ascii="Times New Roman" w:hAnsi="Times New Roman" w:cs="仿宋"/>
                <w:sz w:val="20"/>
                <w:szCs w:val="20"/>
              </w:rPr>
              <w:t>A31</w:t>
            </w:r>
            <w:r>
              <w:rPr>
                <w:rFonts w:cs="仿宋"/>
                <w:sz w:val="20"/>
                <w:szCs w:val="20"/>
              </w:rPr>
              <w:t>预算编制科学性</w:t>
            </w:r>
          </w:p>
        </w:tc>
        <w:tc>
          <w:tcPr>
            <w:tcW w:w="708"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55" w:type="dxa"/>
            <w:vMerge w:val="continue"/>
            <w:vAlign w:val="center"/>
          </w:tcPr>
          <w:p>
            <w:pPr>
              <w:snapToGrid w:val="0"/>
              <w:spacing w:line="240" w:lineRule="auto"/>
              <w:jc w:val="center"/>
              <w:rPr>
                <w:color w:val="000000"/>
                <w:sz w:val="20"/>
                <w:szCs w:val="20"/>
              </w:rPr>
            </w:pPr>
          </w:p>
        </w:tc>
        <w:tc>
          <w:tcPr>
            <w:tcW w:w="707" w:type="dxa"/>
            <w:vMerge w:val="continue"/>
            <w:vAlign w:val="center"/>
          </w:tcPr>
          <w:p>
            <w:pPr>
              <w:snapToGrid w:val="0"/>
              <w:spacing w:line="240" w:lineRule="auto"/>
              <w:jc w:val="center"/>
              <w:rPr>
                <w:color w:val="000000"/>
                <w:sz w:val="20"/>
                <w:szCs w:val="20"/>
              </w:rPr>
            </w:pPr>
          </w:p>
        </w:tc>
        <w:tc>
          <w:tcPr>
            <w:tcW w:w="1573" w:type="dxa"/>
            <w:vMerge w:val="continue"/>
            <w:vAlign w:val="center"/>
          </w:tcPr>
          <w:p>
            <w:pPr>
              <w:snapToGrid w:val="0"/>
              <w:spacing w:line="240" w:lineRule="auto"/>
              <w:jc w:val="center"/>
              <w:rPr>
                <w:color w:val="000000"/>
                <w:sz w:val="20"/>
                <w:szCs w:val="20"/>
              </w:rPr>
            </w:pPr>
          </w:p>
        </w:tc>
        <w:tc>
          <w:tcPr>
            <w:tcW w:w="693" w:type="dxa"/>
            <w:vMerge w:val="continue"/>
            <w:vAlign w:val="center"/>
          </w:tcPr>
          <w:p>
            <w:pPr>
              <w:snapToGrid w:val="0"/>
              <w:spacing w:line="240" w:lineRule="auto"/>
              <w:jc w:val="center"/>
              <w:rPr>
                <w:color w:val="000000"/>
                <w:sz w:val="20"/>
                <w:szCs w:val="20"/>
              </w:rPr>
            </w:pPr>
          </w:p>
        </w:tc>
        <w:tc>
          <w:tcPr>
            <w:tcW w:w="3840" w:type="dxa"/>
            <w:shd w:val="clear" w:color="auto" w:fill="auto"/>
            <w:vAlign w:val="center"/>
          </w:tcPr>
          <w:p>
            <w:pPr>
              <w:snapToGrid w:val="0"/>
              <w:spacing w:line="240" w:lineRule="auto"/>
              <w:jc w:val="center"/>
              <w:rPr>
                <w:color w:val="000000"/>
                <w:sz w:val="20"/>
                <w:szCs w:val="20"/>
              </w:rPr>
            </w:pPr>
            <w:r>
              <w:rPr>
                <w:rFonts w:hint="eastAsia" w:ascii="Times New Roman" w:hAnsi="Times New Roman" w:cs="仿宋"/>
                <w:sz w:val="20"/>
                <w:szCs w:val="20"/>
              </w:rPr>
              <w:t>A32</w:t>
            </w:r>
            <w:r>
              <w:rPr>
                <w:rFonts w:cs="仿宋"/>
                <w:sz w:val="20"/>
                <w:szCs w:val="20"/>
              </w:rPr>
              <w:t>资金分配合理性</w:t>
            </w:r>
          </w:p>
        </w:tc>
        <w:tc>
          <w:tcPr>
            <w:tcW w:w="708"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55" w:type="dxa"/>
            <w:vMerge w:val="restart"/>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B</w:t>
            </w:r>
            <w:r>
              <w:rPr>
                <w:rFonts w:hint="eastAsia" w:cs="仿宋"/>
                <w:sz w:val="20"/>
                <w:szCs w:val="20"/>
              </w:rPr>
              <w:t>过程</w:t>
            </w:r>
          </w:p>
        </w:tc>
        <w:tc>
          <w:tcPr>
            <w:tcW w:w="707" w:type="dxa"/>
            <w:vMerge w:val="restart"/>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20</w:t>
            </w:r>
          </w:p>
        </w:tc>
        <w:tc>
          <w:tcPr>
            <w:tcW w:w="1573" w:type="dxa"/>
            <w:vMerge w:val="restart"/>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B1</w:t>
            </w:r>
            <w:r>
              <w:rPr>
                <w:rFonts w:cs="仿宋"/>
                <w:sz w:val="20"/>
                <w:szCs w:val="20"/>
              </w:rPr>
              <w:t>资金管理</w:t>
            </w:r>
          </w:p>
        </w:tc>
        <w:tc>
          <w:tcPr>
            <w:tcW w:w="693" w:type="dxa"/>
            <w:vMerge w:val="restart"/>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10</w:t>
            </w:r>
          </w:p>
        </w:tc>
        <w:tc>
          <w:tcPr>
            <w:tcW w:w="3840"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B11</w:t>
            </w:r>
            <w:r>
              <w:rPr>
                <w:rFonts w:cs="仿宋"/>
                <w:sz w:val="20"/>
                <w:szCs w:val="20"/>
              </w:rPr>
              <w:t>资金到位率</w:t>
            </w:r>
          </w:p>
        </w:tc>
        <w:tc>
          <w:tcPr>
            <w:tcW w:w="708"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55" w:type="dxa"/>
            <w:vMerge w:val="continue"/>
            <w:vAlign w:val="center"/>
          </w:tcPr>
          <w:p>
            <w:pPr>
              <w:snapToGrid w:val="0"/>
              <w:spacing w:line="240" w:lineRule="auto"/>
              <w:jc w:val="center"/>
              <w:rPr>
                <w:color w:val="000000"/>
                <w:sz w:val="20"/>
                <w:szCs w:val="20"/>
              </w:rPr>
            </w:pPr>
          </w:p>
        </w:tc>
        <w:tc>
          <w:tcPr>
            <w:tcW w:w="707" w:type="dxa"/>
            <w:vMerge w:val="continue"/>
            <w:vAlign w:val="center"/>
          </w:tcPr>
          <w:p>
            <w:pPr>
              <w:snapToGrid w:val="0"/>
              <w:spacing w:line="240" w:lineRule="auto"/>
              <w:jc w:val="center"/>
              <w:rPr>
                <w:color w:val="000000"/>
                <w:sz w:val="20"/>
                <w:szCs w:val="20"/>
              </w:rPr>
            </w:pPr>
          </w:p>
        </w:tc>
        <w:tc>
          <w:tcPr>
            <w:tcW w:w="1573" w:type="dxa"/>
            <w:vMerge w:val="continue"/>
            <w:vAlign w:val="center"/>
          </w:tcPr>
          <w:p>
            <w:pPr>
              <w:snapToGrid w:val="0"/>
              <w:spacing w:line="240" w:lineRule="auto"/>
              <w:jc w:val="center"/>
              <w:rPr>
                <w:color w:val="000000"/>
                <w:sz w:val="20"/>
                <w:szCs w:val="20"/>
              </w:rPr>
            </w:pPr>
          </w:p>
        </w:tc>
        <w:tc>
          <w:tcPr>
            <w:tcW w:w="693" w:type="dxa"/>
            <w:vMerge w:val="continue"/>
            <w:vAlign w:val="center"/>
          </w:tcPr>
          <w:p>
            <w:pPr>
              <w:snapToGrid w:val="0"/>
              <w:spacing w:line="240" w:lineRule="auto"/>
              <w:jc w:val="center"/>
              <w:rPr>
                <w:color w:val="000000"/>
                <w:sz w:val="20"/>
                <w:szCs w:val="20"/>
              </w:rPr>
            </w:pPr>
          </w:p>
        </w:tc>
        <w:tc>
          <w:tcPr>
            <w:tcW w:w="3840" w:type="dxa"/>
            <w:shd w:val="clear" w:color="auto" w:fill="auto"/>
            <w:vAlign w:val="center"/>
          </w:tcPr>
          <w:p>
            <w:pPr>
              <w:snapToGrid w:val="0"/>
              <w:spacing w:line="240" w:lineRule="auto"/>
              <w:jc w:val="center"/>
              <w:rPr>
                <w:color w:val="000000"/>
                <w:sz w:val="20"/>
                <w:szCs w:val="20"/>
              </w:rPr>
            </w:pPr>
            <w:r>
              <w:rPr>
                <w:rFonts w:hint="eastAsia" w:ascii="Times New Roman" w:hAnsi="Times New Roman" w:cs="仿宋"/>
                <w:sz w:val="20"/>
                <w:szCs w:val="20"/>
              </w:rPr>
              <w:t>B12</w:t>
            </w:r>
            <w:r>
              <w:rPr>
                <w:rFonts w:cs="仿宋"/>
                <w:sz w:val="20"/>
                <w:szCs w:val="20"/>
              </w:rPr>
              <w:t>预算执行率</w:t>
            </w:r>
          </w:p>
        </w:tc>
        <w:tc>
          <w:tcPr>
            <w:tcW w:w="708"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55" w:type="dxa"/>
            <w:vMerge w:val="continue"/>
            <w:vAlign w:val="center"/>
          </w:tcPr>
          <w:p>
            <w:pPr>
              <w:snapToGrid w:val="0"/>
              <w:spacing w:line="240" w:lineRule="auto"/>
              <w:jc w:val="center"/>
              <w:rPr>
                <w:color w:val="000000"/>
                <w:sz w:val="20"/>
                <w:szCs w:val="20"/>
              </w:rPr>
            </w:pPr>
          </w:p>
        </w:tc>
        <w:tc>
          <w:tcPr>
            <w:tcW w:w="707" w:type="dxa"/>
            <w:vMerge w:val="continue"/>
            <w:vAlign w:val="center"/>
          </w:tcPr>
          <w:p>
            <w:pPr>
              <w:snapToGrid w:val="0"/>
              <w:spacing w:line="240" w:lineRule="auto"/>
              <w:jc w:val="center"/>
              <w:rPr>
                <w:color w:val="000000"/>
                <w:sz w:val="20"/>
                <w:szCs w:val="20"/>
              </w:rPr>
            </w:pPr>
          </w:p>
        </w:tc>
        <w:tc>
          <w:tcPr>
            <w:tcW w:w="1573" w:type="dxa"/>
            <w:vMerge w:val="continue"/>
            <w:vAlign w:val="center"/>
          </w:tcPr>
          <w:p>
            <w:pPr>
              <w:snapToGrid w:val="0"/>
              <w:spacing w:line="240" w:lineRule="auto"/>
              <w:jc w:val="center"/>
              <w:rPr>
                <w:color w:val="000000"/>
                <w:sz w:val="20"/>
                <w:szCs w:val="20"/>
              </w:rPr>
            </w:pPr>
          </w:p>
        </w:tc>
        <w:tc>
          <w:tcPr>
            <w:tcW w:w="693" w:type="dxa"/>
            <w:vMerge w:val="continue"/>
            <w:vAlign w:val="center"/>
          </w:tcPr>
          <w:p>
            <w:pPr>
              <w:snapToGrid w:val="0"/>
              <w:spacing w:line="240" w:lineRule="auto"/>
              <w:jc w:val="center"/>
              <w:rPr>
                <w:color w:val="000000"/>
                <w:sz w:val="20"/>
                <w:szCs w:val="20"/>
              </w:rPr>
            </w:pPr>
          </w:p>
        </w:tc>
        <w:tc>
          <w:tcPr>
            <w:tcW w:w="3840" w:type="dxa"/>
            <w:shd w:val="clear" w:color="auto" w:fill="auto"/>
            <w:vAlign w:val="center"/>
          </w:tcPr>
          <w:p>
            <w:pPr>
              <w:snapToGrid w:val="0"/>
              <w:spacing w:line="240" w:lineRule="auto"/>
              <w:jc w:val="center"/>
              <w:rPr>
                <w:color w:val="000000"/>
                <w:sz w:val="20"/>
                <w:szCs w:val="20"/>
              </w:rPr>
            </w:pPr>
            <w:r>
              <w:rPr>
                <w:rFonts w:hint="eastAsia" w:ascii="Times New Roman" w:hAnsi="Times New Roman" w:cs="仿宋"/>
                <w:sz w:val="20"/>
                <w:szCs w:val="20"/>
              </w:rPr>
              <w:t>B13</w:t>
            </w:r>
            <w:r>
              <w:rPr>
                <w:rFonts w:cs="仿宋"/>
                <w:sz w:val="20"/>
                <w:szCs w:val="20"/>
              </w:rPr>
              <w:t>资金使用合规性</w:t>
            </w:r>
          </w:p>
        </w:tc>
        <w:tc>
          <w:tcPr>
            <w:tcW w:w="708"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55" w:type="dxa"/>
            <w:vMerge w:val="continue"/>
            <w:vAlign w:val="center"/>
          </w:tcPr>
          <w:p>
            <w:pPr>
              <w:snapToGrid w:val="0"/>
              <w:spacing w:line="240" w:lineRule="auto"/>
              <w:jc w:val="center"/>
              <w:rPr>
                <w:color w:val="000000"/>
                <w:sz w:val="20"/>
                <w:szCs w:val="20"/>
              </w:rPr>
            </w:pPr>
          </w:p>
        </w:tc>
        <w:tc>
          <w:tcPr>
            <w:tcW w:w="707" w:type="dxa"/>
            <w:vMerge w:val="continue"/>
            <w:vAlign w:val="center"/>
          </w:tcPr>
          <w:p>
            <w:pPr>
              <w:snapToGrid w:val="0"/>
              <w:spacing w:line="240" w:lineRule="auto"/>
              <w:jc w:val="center"/>
              <w:rPr>
                <w:color w:val="000000"/>
                <w:sz w:val="20"/>
                <w:szCs w:val="20"/>
              </w:rPr>
            </w:pPr>
          </w:p>
        </w:tc>
        <w:tc>
          <w:tcPr>
            <w:tcW w:w="1573" w:type="dxa"/>
            <w:vMerge w:val="restart"/>
            <w:shd w:val="clear" w:color="auto" w:fill="auto"/>
            <w:vAlign w:val="center"/>
          </w:tcPr>
          <w:p>
            <w:pPr>
              <w:snapToGrid w:val="0"/>
              <w:spacing w:line="240" w:lineRule="auto"/>
              <w:jc w:val="center"/>
              <w:rPr>
                <w:color w:val="000000"/>
                <w:sz w:val="20"/>
                <w:szCs w:val="20"/>
              </w:rPr>
            </w:pPr>
            <w:r>
              <w:rPr>
                <w:rFonts w:hint="eastAsia" w:ascii="Times New Roman" w:hAnsi="Times New Roman" w:cs="仿宋"/>
                <w:sz w:val="20"/>
                <w:szCs w:val="20"/>
              </w:rPr>
              <w:t>B2</w:t>
            </w:r>
            <w:r>
              <w:rPr>
                <w:rFonts w:cs="仿宋"/>
                <w:sz w:val="20"/>
                <w:szCs w:val="20"/>
              </w:rPr>
              <w:t>组织实施</w:t>
            </w:r>
          </w:p>
        </w:tc>
        <w:tc>
          <w:tcPr>
            <w:tcW w:w="693" w:type="dxa"/>
            <w:vMerge w:val="restart"/>
            <w:vAlign w:val="center"/>
          </w:tcPr>
          <w:p>
            <w:pPr>
              <w:snapToGrid w:val="0"/>
              <w:spacing w:line="240" w:lineRule="auto"/>
              <w:jc w:val="center"/>
              <w:rPr>
                <w:color w:val="000000"/>
                <w:sz w:val="20"/>
                <w:szCs w:val="20"/>
              </w:rPr>
            </w:pPr>
            <w:r>
              <w:rPr>
                <w:rFonts w:hint="eastAsia" w:ascii="Times New Roman" w:hAnsi="Times New Roman" w:cs="仿宋"/>
                <w:sz w:val="20"/>
                <w:szCs w:val="20"/>
              </w:rPr>
              <w:t>10</w:t>
            </w:r>
          </w:p>
        </w:tc>
        <w:tc>
          <w:tcPr>
            <w:tcW w:w="3840" w:type="dxa"/>
            <w:shd w:val="clear" w:color="auto" w:fill="auto"/>
            <w:vAlign w:val="center"/>
          </w:tcPr>
          <w:p>
            <w:pPr>
              <w:snapToGrid w:val="0"/>
              <w:spacing w:line="240" w:lineRule="auto"/>
              <w:jc w:val="center"/>
              <w:rPr>
                <w:color w:val="000000"/>
                <w:sz w:val="20"/>
                <w:szCs w:val="20"/>
              </w:rPr>
            </w:pPr>
            <w:r>
              <w:rPr>
                <w:rFonts w:hint="eastAsia" w:ascii="Times New Roman" w:hAnsi="Times New Roman" w:cs="仿宋"/>
                <w:sz w:val="20"/>
                <w:szCs w:val="20"/>
              </w:rPr>
              <w:t>B21</w:t>
            </w:r>
            <w:r>
              <w:rPr>
                <w:rFonts w:cs="仿宋"/>
                <w:sz w:val="20"/>
                <w:szCs w:val="20"/>
              </w:rPr>
              <w:t>管理制度健全性</w:t>
            </w:r>
          </w:p>
        </w:tc>
        <w:tc>
          <w:tcPr>
            <w:tcW w:w="708"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55" w:type="dxa"/>
            <w:vMerge w:val="continue"/>
            <w:vAlign w:val="center"/>
          </w:tcPr>
          <w:p>
            <w:pPr>
              <w:snapToGrid w:val="0"/>
              <w:spacing w:line="240" w:lineRule="auto"/>
              <w:jc w:val="center"/>
              <w:rPr>
                <w:color w:val="000000"/>
                <w:sz w:val="20"/>
                <w:szCs w:val="20"/>
              </w:rPr>
            </w:pPr>
          </w:p>
        </w:tc>
        <w:tc>
          <w:tcPr>
            <w:tcW w:w="707" w:type="dxa"/>
            <w:vMerge w:val="continue"/>
            <w:vAlign w:val="center"/>
          </w:tcPr>
          <w:p>
            <w:pPr>
              <w:snapToGrid w:val="0"/>
              <w:spacing w:line="240" w:lineRule="auto"/>
              <w:jc w:val="center"/>
              <w:rPr>
                <w:color w:val="000000"/>
                <w:sz w:val="20"/>
                <w:szCs w:val="20"/>
              </w:rPr>
            </w:pPr>
          </w:p>
        </w:tc>
        <w:tc>
          <w:tcPr>
            <w:tcW w:w="1573" w:type="dxa"/>
            <w:vMerge w:val="continue"/>
            <w:vAlign w:val="center"/>
          </w:tcPr>
          <w:p>
            <w:pPr>
              <w:snapToGrid w:val="0"/>
              <w:spacing w:line="240" w:lineRule="auto"/>
              <w:jc w:val="center"/>
              <w:rPr>
                <w:color w:val="000000"/>
                <w:sz w:val="20"/>
                <w:szCs w:val="20"/>
              </w:rPr>
            </w:pPr>
          </w:p>
        </w:tc>
        <w:tc>
          <w:tcPr>
            <w:tcW w:w="693" w:type="dxa"/>
            <w:vMerge w:val="continue"/>
            <w:vAlign w:val="center"/>
          </w:tcPr>
          <w:p>
            <w:pPr>
              <w:snapToGrid w:val="0"/>
              <w:spacing w:line="240" w:lineRule="auto"/>
              <w:jc w:val="center"/>
              <w:rPr>
                <w:color w:val="000000"/>
                <w:sz w:val="20"/>
                <w:szCs w:val="20"/>
              </w:rPr>
            </w:pPr>
          </w:p>
        </w:tc>
        <w:tc>
          <w:tcPr>
            <w:tcW w:w="3840" w:type="dxa"/>
            <w:shd w:val="clear" w:color="auto" w:fill="auto"/>
            <w:vAlign w:val="center"/>
          </w:tcPr>
          <w:p>
            <w:pPr>
              <w:snapToGrid w:val="0"/>
              <w:spacing w:line="240" w:lineRule="auto"/>
              <w:jc w:val="center"/>
              <w:rPr>
                <w:color w:val="000000"/>
                <w:sz w:val="20"/>
                <w:szCs w:val="20"/>
              </w:rPr>
            </w:pPr>
            <w:r>
              <w:rPr>
                <w:rFonts w:hint="eastAsia" w:ascii="Times New Roman" w:hAnsi="Times New Roman" w:cs="仿宋"/>
                <w:sz w:val="20"/>
                <w:szCs w:val="20"/>
              </w:rPr>
              <w:t>B22</w:t>
            </w:r>
            <w:r>
              <w:rPr>
                <w:rFonts w:cs="仿宋"/>
                <w:sz w:val="20"/>
                <w:szCs w:val="20"/>
              </w:rPr>
              <w:t>制度执行有效性</w:t>
            </w:r>
          </w:p>
        </w:tc>
        <w:tc>
          <w:tcPr>
            <w:tcW w:w="708"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55" w:type="dxa"/>
            <w:vMerge w:val="continue"/>
            <w:vAlign w:val="center"/>
          </w:tcPr>
          <w:p>
            <w:pPr>
              <w:snapToGrid w:val="0"/>
              <w:spacing w:line="240" w:lineRule="auto"/>
              <w:jc w:val="center"/>
              <w:rPr>
                <w:color w:val="000000"/>
                <w:sz w:val="20"/>
                <w:szCs w:val="20"/>
              </w:rPr>
            </w:pPr>
          </w:p>
        </w:tc>
        <w:tc>
          <w:tcPr>
            <w:tcW w:w="707" w:type="dxa"/>
            <w:vMerge w:val="continue"/>
            <w:vAlign w:val="center"/>
          </w:tcPr>
          <w:p>
            <w:pPr>
              <w:snapToGrid w:val="0"/>
              <w:spacing w:line="240" w:lineRule="auto"/>
              <w:jc w:val="center"/>
              <w:rPr>
                <w:color w:val="000000"/>
                <w:sz w:val="20"/>
                <w:szCs w:val="20"/>
              </w:rPr>
            </w:pPr>
          </w:p>
        </w:tc>
        <w:tc>
          <w:tcPr>
            <w:tcW w:w="1573" w:type="dxa"/>
            <w:vMerge w:val="continue"/>
            <w:vAlign w:val="center"/>
          </w:tcPr>
          <w:p>
            <w:pPr>
              <w:snapToGrid w:val="0"/>
              <w:spacing w:line="240" w:lineRule="auto"/>
              <w:jc w:val="center"/>
              <w:rPr>
                <w:color w:val="000000"/>
                <w:sz w:val="20"/>
                <w:szCs w:val="20"/>
              </w:rPr>
            </w:pPr>
          </w:p>
        </w:tc>
        <w:tc>
          <w:tcPr>
            <w:tcW w:w="693" w:type="dxa"/>
            <w:vMerge w:val="continue"/>
            <w:vAlign w:val="center"/>
          </w:tcPr>
          <w:p>
            <w:pPr>
              <w:snapToGrid w:val="0"/>
              <w:spacing w:line="240" w:lineRule="auto"/>
              <w:jc w:val="center"/>
              <w:rPr>
                <w:color w:val="000000"/>
                <w:sz w:val="20"/>
                <w:szCs w:val="20"/>
              </w:rPr>
            </w:pPr>
          </w:p>
        </w:tc>
        <w:tc>
          <w:tcPr>
            <w:tcW w:w="3840" w:type="dxa"/>
            <w:shd w:val="clear" w:color="auto" w:fill="auto"/>
            <w:vAlign w:val="center"/>
          </w:tcPr>
          <w:p>
            <w:pPr>
              <w:snapToGrid w:val="0"/>
              <w:spacing w:line="240" w:lineRule="auto"/>
              <w:jc w:val="center"/>
              <w:rPr>
                <w:rFonts w:cs="仿宋"/>
                <w:sz w:val="20"/>
                <w:szCs w:val="20"/>
              </w:rPr>
            </w:pPr>
            <w:r>
              <w:rPr>
                <w:rFonts w:hint="eastAsia" w:ascii="Times New Roman" w:hAnsi="Times New Roman" w:cs="仿宋"/>
                <w:sz w:val="20"/>
                <w:szCs w:val="20"/>
              </w:rPr>
              <w:t>B23</w:t>
            </w:r>
            <w:r>
              <w:rPr>
                <w:rFonts w:hint="eastAsia" w:cs="仿宋"/>
                <w:sz w:val="20"/>
                <w:szCs w:val="20"/>
              </w:rPr>
              <w:t>项目监控规范性</w:t>
            </w:r>
          </w:p>
        </w:tc>
        <w:tc>
          <w:tcPr>
            <w:tcW w:w="708"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55" w:type="dxa"/>
            <w:vMerge w:val="restart"/>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C</w:t>
            </w:r>
            <w:r>
              <w:rPr>
                <w:rFonts w:hint="eastAsia" w:cs="仿宋"/>
                <w:sz w:val="20"/>
                <w:szCs w:val="20"/>
              </w:rPr>
              <w:t>产出</w:t>
            </w:r>
          </w:p>
        </w:tc>
        <w:tc>
          <w:tcPr>
            <w:tcW w:w="707" w:type="dxa"/>
            <w:vMerge w:val="restart"/>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30</w:t>
            </w:r>
          </w:p>
        </w:tc>
        <w:tc>
          <w:tcPr>
            <w:tcW w:w="1573" w:type="dxa"/>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C</w:t>
            </w:r>
            <w:r>
              <w:rPr>
                <w:rFonts w:hint="eastAsia" w:ascii="Times New Roman" w:hAnsi="Times New Roman" w:cs="仿宋"/>
                <w:sz w:val="20"/>
                <w:szCs w:val="20"/>
              </w:rPr>
              <w:t>1</w:t>
            </w:r>
            <w:r>
              <w:rPr>
                <w:rFonts w:hint="eastAsia" w:cs="仿宋"/>
                <w:sz w:val="20"/>
                <w:szCs w:val="20"/>
              </w:rPr>
              <w:t>产出数量</w:t>
            </w:r>
          </w:p>
        </w:tc>
        <w:tc>
          <w:tcPr>
            <w:tcW w:w="693" w:type="dxa"/>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8</w:t>
            </w:r>
          </w:p>
        </w:tc>
        <w:tc>
          <w:tcPr>
            <w:tcW w:w="3840" w:type="dxa"/>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C</w:t>
            </w:r>
            <w:r>
              <w:rPr>
                <w:rFonts w:hint="eastAsia" w:ascii="Times New Roman" w:hAnsi="Times New Roman" w:cs="仿宋"/>
                <w:sz w:val="20"/>
                <w:szCs w:val="20"/>
              </w:rPr>
              <w:t>11</w:t>
            </w:r>
            <w:r>
              <w:rPr>
                <w:rFonts w:hint="eastAsia" w:cs="仿宋"/>
                <w:sz w:val="20"/>
                <w:szCs w:val="20"/>
              </w:rPr>
              <w:t>工程建设</w:t>
            </w:r>
            <w:r>
              <w:rPr>
                <w:rFonts w:cs="仿宋"/>
                <w:sz w:val="20"/>
                <w:szCs w:val="20"/>
              </w:rPr>
              <w:t>完成率</w:t>
            </w:r>
          </w:p>
        </w:tc>
        <w:tc>
          <w:tcPr>
            <w:tcW w:w="708"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55" w:type="dxa"/>
            <w:vMerge w:val="continue"/>
            <w:shd w:val="clear" w:color="auto" w:fill="auto"/>
            <w:vAlign w:val="center"/>
          </w:tcPr>
          <w:p>
            <w:pPr>
              <w:widowControl w:val="0"/>
              <w:snapToGrid w:val="0"/>
              <w:spacing w:line="240" w:lineRule="auto"/>
              <w:jc w:val="center"/>
              <w:rPr>
                <w:rFonts w:cs="仿宋"/>
                <w:sz w:val="20"/>
                <w:szCs w:val="20"/>
              </w:rPr>
            </w:pPr>
          </w:p>
        </w:tc>
        <w:tc>
          <w:tcPr>
            <w:tcW w:w="707" w:type="dxa"/>
            <w:vMerge w:val="continue"/>
            <w:vAlign w:val="center"/>
          </w:tcPr>
          <w:p>
            <w:pPr>
              <w:widowControl w:val="0"/>
              <w:snapToGrid w:val="0"/>
              <w:spacing w:line="240" w:lineRule="auto"/>
              <w:jc w:val="center"/>
              <w:rPr>
                <w:rFonts w:cs="仿宋"/>
                <w:sz w:val="20"/>
                <w:szCs w:val="20"/>
              </w:rPr>
            </w:pPr>
          </w:p>
        </w:tc>
        <w:tc>
          <w:tcPr>
            <w:tcW w:w="1573" w:type="dxa"/>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C</w:t>
            </w:r>
            <w:r>
              <w:rPr>
                <w:rFonts w:hint="eastAsia" w:ascii="Times New Roman" w:hAnsi="Times New Roman" w:cs="仿宋"/>
                <w:sz w:val="20"/>
                <w:szCs w:val="20"/>
              </w:rPr>
              <w:t>2</w:t>
            </w:r>
            <w:r>
              <w:rPr>
                <w:rFonts w:hint="eastAsia" w:cs="仿宋"/>
                <w:sz w:val="20"/>
                <w:szCs w:val="20"/>
              </w:rPr>
              <w:t>产出质量</w:t>
            </w:r>
          </w:p>
        </w:tc>
        <w:tc>
          <w:tcPr>
            <w:tcW w:w="693" w:type="dxa"/>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7</w:t>
            </w:r>
          </w:p>
        </w:tc>
        <w:tc>
          <w:tcPr>
            <w:tcW w:w="3840" w:type="dxa"/>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C</w:t>
            </w:r>
            <w:r>
              <w:rPr>
                <w:rFonts w:hint="eastAsia" w:ascii="Times New Roman" w:hAnsi="Times New Roman" w:cs="仿宋"/>
                <w:sz w:val="20"/>
                <w:szCs w:val="20"/>
              </w:rPr>
              <w:t>21</w:t>
            </w:r>
            <w:r>
              <w:rPr>
                <w:rFonts w:hint="eastAsia" w:cs="仿宋"/>
                <w:sz w:val="20"/>
                <w:szCs w:val="20"/>
              </w:rPr>
              <w:t>工程验收合格率</w:t>
            </w:r>
          </w:p>
        </w:tc>
        <w:tc>
          <w:tcPr>
            <w:tcW w:w="708"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55" w:type="dxa"/>
            <w:vMerge w:val="continue"/>
            <w:shd w:val="clear" w:color="auto" w:fill="auto"/>
            <w:vAlign w:val="center"/>
          </w:tcPr>
          <w:p>
            <w:pPr>
              <w:widowControl w:val="0"/>
              <w:snapToGrid w:val="0"/>
              <w:spacing w:line="240" w:lineRule="auto"/>
              <w:jc w:val="center"/>
              <w:rPr>
                <w:rFonts w:cs="仿宋"/>
                <w:sz w:val="20"/>
                <w:szCs w:val="20"/>
              </w:rPr>
            </w:pPr>
          </w:p>
        </w:tc>
        <w:tc>
          <w:tcPr>
            <w:tcW w:w="707" w:type="dxa"/>
            <w:vMerge w:val="continue"/>
            <w:vAlign w:val="center"/>
          </w:tcPr>
          <w:p>
            <w:pPr>
              <w:widowControl w:val="0"/>
              <w:snapToGrid w:val="0"/>
              <w:spacing w:line="240" w:lineRule="auto"/>
              <w:jc w:val="center"/>
              <w:rPr>
                <w:rFonts w:cs="仿宋"/>
                <w:sz w:val="20"/>
                <w:szCs w:val="20"/>
              </w:rPr>
            </w:pPr>
          </w:p>
        </w:tc>
        <w:tc>
          <w:tcPr>
            <w:tcW w:w="1573" w:type="dxa"/>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C</w:t>
            </w:r>
            <w:r>
              <w:rPr>
                <w:rFonts w:hint="eastAsia" w:ascii="Times New Roman" w:hAnsi="Times New Roman" w:cs="仿宋"/>
                <w:sz w:val="20"/>
                <w:szCs w:val="20"/>
              </w:rPr>
              <w:t>3</w:t>
            </w:r>
            <w:r>
              <w:rPr>
                <w:rFonts w:hint="eastAsia" w:cs="仿宋"/>
                <w:sz w:val="20"/>
                <w:szCs w:val="20"/>
              </w:rPr>
              <w:t>产出时效</w:t>
            </w:r>
          </w:p>
        </w:tc>
        <w:tc>
          <w:tcPr>
            <w:tcW w:w="693" w:type="dxa"/>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6</w:t>
            </w:r>
          </w:p>
        </w:tc>
        <w:tc>
          <w:tcPr>
            <w:tcW w:w="3840" w:type="dxa"/>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C</w:t>
            </w:r>
            <w:r>
              <w:rPr>
                <w:rFonts w:hint="eastAsia" w:ascii="Times New Roman" w:hAnsi="Times New Roman" w:cs="仿宋"/>
                <w:sz w:val="20"/>
                <w:szCs w:val="20"/>
              </w:rPr>
              <w:t>31</w:t>
            </w:r>
            <w:r>
              <w:rPr>
                <w:rFonts w:hint="eastAsia" w:cs="仿宋"/>
                <w:sz w:val="20"/>
                <w:szCs w:val="20"/>
              </w:rPr>
              <w:t>完成及时率</w:t>
            </w:r>
          </w:p>
        </w:tc>
        <w:tc>
          <w:tcPr>
            <w:tcW w:w="708"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55" w:type="dxa"/>
            <w:vMerge w:val="continue"/>
            <w:shd w:val="clear" w:color="auto" w:fill="auto"/>
            <w:vAlign w:val="center"/>
          </w:tcPr>
          <w:p>
            <w:pPr>
              <w:widowControl w:val="0"/>
              <w:snapToGrid w:val="0"/>
              <w:spacing w:line="240" w:lineRule="auto"/>
              <w:jc w:val="center"/>
              <w:rPr>
                <w:rFonts w:cs="仿宋"/>
                <w:sz w:val="20"/>
                <w:szCs w:val="20"/>
              </w:rPr>
            </w:pPr>
          </w:p>
        </w:tc>
        <w:tc>
          <w:tcPr>
            <w:tcW w:w="707" w:type="dxa"/>
            <w:vMerge w:val="continue"/>
          </w:tcPr>
          <w:p>
            <w:pPr>
              <w:widowControl w:val="0"/>
              <w:snapToGrid w:val="0"/>
              <w:spacing w:line="240" w:lineRule="auto"/>
              <w:jc w:val="center"/>
              <w:rPr>
                <w:rFonts w:cs="仿宋"/>
                <w:sz w:val="20"/>
                <w:szCs w:val="20"/>
              </w:rPr>
            </w:pPr>
          </w:p>
        </w:tc>
        <w:tc>
          <w:tcPr>
            <w:tcW w:w="1573" w:type="dxa"/>
            <w:vMerge w:val="restart"/>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C</w:t>
            </w:r>
            <w:r>
              <w:rPr>
                <w:rFonts w:hint="eastAsia" w:ascii="Times New Roman" w:hAnsi="Times New Roman" w:cs="仿宋"/>
                <w:sz w:val="20"/>
                <w:szCs w:val="20"/>
              </w:rPr>
              <w:t>4</w:t>
            </w:r>
            <w:r>
              <w:rPr>
                <w:rFonts w:hint="eastAsia" w:cs="仿宋"/>
                <w:sz w:val="20"/>
                <w:szCs w:val="20"/>
              </w:rPr>
              <w:t>产出成本</w:t>
            </w:r>
          </w:p>
        </w:tc>
        <w:tc>
          <w:tcPr>
            <w:tcW w:w="693" w:type="dxa"/>
            <w:vMerge w:val="restart"/>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9</w:t>
            </w:r>
          </w:p>
        </w:tc>
        <w:tc>
          <w:tcPr>
            <w:tcW w:w="3840" w:type="dxa"/>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C</w:t>
            </w:r>
            <w:r>
              <w:rPr>
                <w:rFonts w:hint="eastAsia" w:ascii="Times New Roman" w:hAnsi="Times New Roman" w:cs="仿宋"/>
                <w:sz w:val="20"/>
                <w:szCs w:val="20"/>
              </w:rPr>
              <w:t>41</w:t>
            </w:r>
            <w:r>
              <w:rPr>
                <w:rFonts w:hint="eastAsia" w:cs="仿宋"/>
                <w:sz w:val="20"/>
                <w:szCs w:val="20"/>
              </w:rPr>
              <w:t>道路补助标准</w:t>
            </w:r>
            <w:r>
              <w:rPr>
                <w:rFonts w:cs="仿宋"/>
                <w:sz w:val="20"/>
                <w:szCs w:val="20"/>
              </w:rPr>
              <w:t xml:space="preserve"> </w:t>
            </w:r>
          </w:p>
        </w:tc>
        <w:tc>
          <w:tcPr>
            <w:tcW w:w="708"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55" w:type="dxa"/>
            <w:vMerge w:val="continue"/>
            <w:shd w:val="clear" w:color="auto" w:fill="auto"/>
            <w:vAlign w:val="center"/>
          </w:tcPr>
          <w:p>
            <w:pPr>
              <w:widowControl w:val="0"/>
              <w:snapToGrid w:val="0"/>
              <w:spacing w:line="240" w:lineRule="auto"/>
              <w:jc w:val="center"/>
              <w:rPr>
                <w:rFonts w:cs="仿宋"/>
                <w:sz w:val="20"/>
                <w:szCs w:val="20"/>
              </w:rPr>
            </w:pPr>
          </w:p>
        </w:tc>
        <w:tc>
          <w:tcPr>
            <w:tcW w:w="707" w:type="dxa"/>
            <w:vMerge w:val="continue"/>
          </w:tcPr>
          <w:p>
            <w:pPr>
              <w:widowControl w:val="0"/>
              <w:snapToGrid w:val="0"/>
              <w:spacing w:line="240" w:lineRule="auto"/>
              <w:jc w:val="center"/>
              <w:rPr>
                <w:rFonts w:cs="仿宋"/>
                <w:sz w:val="20"/>
                <w:szCs w:val="20"/>
              </w:rPr>
            </w:pPr>
          </w:p>
        </w:tc>
        <w:tc>
          <w:tcPr>
            <w:tcW w:w="1573" w:type="dxa"/>
            <w:vMerge w:val="continue"/>
            <w:shd w:val="clear" w:color="auto" w:fill="auto"/>
            <w:vAlign w:val="center"/>
          </w:tcPr>
          <w:p>
            <w:pPr>
              <w:widowControl w:val="0"/>
              <w:snapToGrid w:val="0"/>
              <w:spacing w:line="240" w:lineRule="auto"/>
              <w:jc w:val="center"/>
              <w:rPr>
                <w:rFonts w:ascii="Times New Roman" w:hAnsi="Times New Roman" w:cs="仿宋"/>
                <w:sz w:val="20"/>
                <w:szCs w:val="20"/>
              </w:rPr>
            </w:pPr>
          </w:p>
        </w:tc>
        <w:tc>
          <w:tcPr>
            <w:tcW w:w="693" w:type="dxa"/>
            <w:vMerge w:val="continue"/>
            <w:vAlign w:val="center"/>
          </w:tcPr>
          <w:p>
            <w:pPr>
              <w:widowControl w:val="0"/>
              <w:snapToGrid w:val="0"/>
              <w:spacing w:line="240" w:lineRule="auto"/>
              <w:jc w:val="center"/>
              <w:rPr>
                <w:rFonts w:hint="eastAsia" w:ascii="Times New Roman" w:hAnsi="Times New Roman" w:cs="仿宋"/>
                <w:sz w:val="20"/>
                <w:szCs w:val="20"/>
              </w:rPr>
            </w:pPr>
          </w:p>
        </w:tc>
        <w:tc>
          <w:tcPr>
            <w:tcW w:w="3840" w:type="dxa"/>
            <w:shd w:val="clear" w:color="auto" w:fill="auto"/>
            <w:vAlign w:val="center"/>
          </w:tcPr>
          <w:p>
            <w:pPr>
              <w:widowControl w:val="0"/>
              <w:snapToGrid w:val="0"/>
              <w:spacing w:line="240" w:lineRule="auto"/>
              <w:jc w:val="center"/>
              <w:rPr>
                <w:rFonts w:ascii="Times New Roman" w:hAnsi="Times New Roman" w:cs="仿宋"/>
                <w:sz w:val="20"/>
                <w:szCs w:val="20"/>
              </w:rPr>
            </w:pPr>
            <w:r>
              <w:rPr>
                <w:rFonts w:ascii="Times New Roman" w:hAnsi="Times New Roman" w:cs="仿宋"/>
                <w:sz w:val="20"/>
                <w:szCs w:val="20"/>
              </w:rPr>
              <w:t>C</w:t>
            </w:r>
            <w:r>
              <w:rPr>
                <w:rFonts w:hint="eastAsia" w:ascii="Times New Roman" w:hAnsi="Times New Roman" w:cs="仿宋"/>
                <w:sz w:val="20"/>
                <w:szCs w:val="20"/>
              </w:rPr>
              <w:t>42</w:t>
            </w:r>
            <w:r>
              <w:rPr>
                <w:rFonts w:hint="eastAsia" w:cs="仿宋"/>
                <w:sz w:val="20"/>
                <w:szCs w:val="20"/>
              </w:rPr>
              <w:t>成本节约率</w:t>
            </w:r>
          </w:p>
        </w:tc>
        <w:tc>
          <w:tcPr>
            <w:tcW w:w="708" w:type="dxa"/>
            <w:shd w:val="clear" w:color="auto" w:fill="auto"/>
            <w:vAlign w:val="center"/>
          </w:tcPr>
          <w:p>
            <w:pPr>
              <w:widowControl w:val="0"/>
              <w:snapToGrid w:val="0"/>
              <w:spacing w:line="240" w:lineRule="auto"/>
              <w:jc w:val="center"/>
              <w:rPr>
                <w:rFonts w:hint="eastAsia" w:ascii="Times New Roman" w:hAnsi="Times New Roman" w:cs="仿宋"/>
                <w:sz w:val="20"/>
                <w:szCs w:val="20"/>
              </w:rPr>
            </w:pPr>
            <w:r>
              <w:rPr>
                <w:rFonts w:hint="eastAsia" w:ascii="Times New Roman" w:hAnsi="Times New Roman" w:cs="仿宋"/>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55" w:type="dxa"/>
            <w:vMerge w:val="restart"/>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D</w:t>
            </w:r>
            <w:r>
              <w:rPr>
                <w:rFonts w:hint="eastAsia" w:ascii="Times New Roman" w:hAnsi="Times New Roman" w:cs="仿宋"/>
                <w:sz w:val="20"/>
                <w:szCs w:val="20"/>
              </w:rPr>
              <w:t>效益</w:t>
            </w:r>
          </w:p>
        </w:tc>
        <w:tc>
          <w:tcPr>
            <w:tcW w:w="707" w:type="dxa"/>
            <w:vMerge w:val="restart"/>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30</w:t>
            </w:r>
          </w:p>
        </w:tc>
        <w:tc>
          <w:tcPr>
            <w:tcW w:w="1573" w:type="dxa"/>
            <w:shd w:val="clear" w:color="auto" w:fill="auto"/>
            <w:vAlign w:val="center"/>
          </w:tcPr>
          <w:p>
            <w:pPr>
              <w:widowControl w:val="0"/>
              <w:snapToGrid w:val="0"/>
              <w:spacing w:line="240" w:lineRule="auto"/>
              <w:jc w:val="center"/>
              <w:rPr>
                <w:rFonts w:ascii="Times New Roman" w:hAnsi="Times New Roman" w:cs="仿宋"/>
                <w:sz w:val="20"/>
                <w:szCs w:val="20"/>
              </w:rPr>
            </w:pPr>
            <w:r>
              <w:rPr>
                <w:rFonts w:ascii="Times New Roman" w:hAnsi="Times New Roman" w:cs="仿宋"/>
                <w:sz w:val="20"/>
                <w:szCs w:val="20"/>
              </w:rPr>
              <w:t>D</w:t>
            </w:r>
            <w:r>
              <w:rPr>
                <w:rFonts w:hint="eastAsia" w:ascii="Times New Roman" w:hAnsi="Times New Roman" w:cs="仿宋"/>
                <w:sz w:val="20"/>
                <w:szCs w:val="20"/>
              </w:rPr>
              <w:t>1经济效益</w:t>
            </w:r>
          </w:p>
        </w:tc>
        <w:tc>
          <w:tcPr>
            <w:tcW w:w="693" w:type="dxa"/>
            <w:vAlign w:val="center"/>
          </w:tcPr>
          <w:p>
            <w:pPr>
              <w:widowControl w:val="0"/>
              <w:snapToGrid w:val="0"/>
              <w:spacing w:line="240" w:lineRule="auto"/>
              <w:jc w:val="center"/>
              <w:rPr>
                <w:rFonts w:ascii="Times New Roman" w:hAnsi="Times New Roman" w:cs="仿宋"/>
                <w:sz w:val="20"/>
                <w:szCs w:val="20"/>
              </w:rPr>
            </w:pPr>
            <w:r>
              <w:rPr>
                <w:rFonts w:hint="eastAsia" w:ascii="Times New Roman" w:hAnsi="Times New Roman" w:cs="仿宋"/>
                <w:sz w:val="20"/>
                <w:szCs w:val="20"/>
              </w:rPr>
              <w:t>5</w:t>
            </w:r>
          </w:p>
        </w:tc>
        <w:tc>
          <w:tcPr>
            <w:tcW w:w="3840" w:type="dxa"/>
            <w:shd w:val="clear" w:color="auto" w:fill="auto"/>
            <w:vAlign w:val="center"/>
          </w:tcPr>
          <w:p>
            <w:pPr>
              <w:widowControl w:val="0"/>
              <w:snapToGrid w:val="0"/>
              <w:spacing w:line="240" w:lineRule="auto"/>
              <w:jc w:val="center"/>
              <w:rPr>
                <w:rFonts w:ascii="Times New Roman" w:hAnsi="Times New Roman" w:cs="仿宋"/>
                <w:sz w:val="20"/>
                <w:szCs w:val="20"/>
              </w:rPr>
            </w:pPr>
            <w:r>
              <w:rPr>
                <w:rFonts w:ascii="Times New Roman" w:hAnsi="Times New Roman" w:cs="仿宋"/>
                <w:sz w:val="20"/>
                <w:szCs w:val="20"/>
              </w:rPr>
              <w:t>D11</w:t>
            </w:r>
            <w:r>
              <w:rPr>
                <w:rFonts w:hint="eastAsia" w:cs="仿宋_GB2312"/>
                <w:bCs/>
                <w:sz w:val="20"/>
                <w:szCs w:val="20"/>
              </w:rPr>
              <w:t>带动地方经济发展</w:t>
            </w:r>
          </w:p>
        </w:tc>
        <w:tc>
          <w:tcPr>
            <w:tcW w:w="708" w:type="dxa"/>
            <w:shd w:val="clear" w:color="auto" w:fill="auto"/>
            <w:vAlign w:val="center"/>
          </w:tcPr>
          <w:p>
            <w:pPr>
              <w:widowControl w:val="0"/>
              <w:snapToGrid w:val="0"/>
              <w:spacing w:line="240" w:lineRule="auto"/>
              <w:jc w:val="center"/>
              <w:rPr>
                <w:rFonts w:ascii="Times New Roman" w:hAnsi="Times New Roman" w:cs="仿宋"/>
                <w:sz w:val="20"/>
                <w:szCs w:val="20"/>
              </w:rPr>
            </w:pPr>
            <w:r>
              <w:rPr>
                <w:rFonts w:hint="eastAsia" w:ascii="Times New Roman" w:hAnsi="Times New Roman" w:cs="仿宋"/>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55" w:type="dxa"/>
            <w:vMerge w:val="continue"/>
            <w:shd w:val="clear" w:color="auto" w:fill="auto"/>
            <w:vAlign w:val="center"/>
          </w:tcPr>
          <w:p>
            <w:pPr>
              <w:widowControl w:val="0"/>
              <w:snapToGrid w:val="0"/>
              <w:spacing w:line="240" w:lineRule="auto"/>
              <w:jc w:val="center"/>
              <w:rPr>
                <w:rFonts w:cs="仿宋"/>
                <w:sz w:val="20"/>
                <w:szCs w:val="20"/>
              </w:rPr>
            </w:pPr>
          </w:p>
        </w:tc>
        <w:tc>
          <w:tcPr>
            <w:tcW w:w="707" w:type="dxa"/>
            <w:vMerge w:val="continue"/>
            <w:vAlign w:val="center"/>
          </w:tcPr>
          <w:p>
            <w:pPr>
              <w:widowControl w:val="0"/>
              <w:snapToGrid w:val="0"/>
              <w:spacing w:line="240" w:lineRule="auto"/>
              <w:jc w:val="center"/>
              <w:rPr>
                <w:rFonts w:cs="仿宋"/>
                <w:sz w:val="20"/>
                <w:szCs w:val="20"/>
              </w:rPr>
            </w:pPr>
          </w:p>
        </w:tc>
        <w:tc>
          <w:tcPr>
            <w:tcW w:w="1573" w:type="dxa"/>
            <w:vMerge w:val="restart"/>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D</w:t>
            </w:r>
            <w:r>
              <w:rPr>
                <w:rFonts w:hint="eastAsia" w:ascii="Times New Roman" w:hAnsi="Times New Roman" w:cs="仿宋"/>
                <w:sz w:val="20"/>
                <w:szCs w:val="20"/>
              </w:rPr>
              <w:t>2</w:t>
            </w:r>
            <w:r>
              <w:rPr>
                <w:rFonts w:hint="eastAsia" w:cs="仿宋"/>
                <w:sz w:val="20"/>
                <w:szCs w:val="20"/>
              </w:rPr>
              <w:t>社会效益</w:t>
            </w:r>
          </w:p>
        </w:tc>
        <w:tc>
          <w:tcPr>
            <w:tcW w:w="693" w:type="dxa"/>
            <w:vMerge w:val="restart"/>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8</w:t>
            </w:r>
          </w:p>
        </w:tc>
        <w:tc>
          <w:tcPr>
            <w:tcW w:w="3840" w:type="dxa"/>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D21</w:t>
            </w:r>
            <w:r>
              <w:rPr>
                <w:rFonts w:hint="eastAsia" w:cs="仿宋_GB2312"/>
                <w:bCs/>
                <w:sz w:val="20"/>
                <w:szCs w:val="20"/>
              </w:rPr>
              <w:t>解决村民出行难题</w:t>
            </w:r>
          </w:p>
        </w:tc>
        <w:tc>
          <w:tcPr>
            <w:tcW w:w="708"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55" w:type="dxa"/>
            <w:vMerge w:val="continue"/>
            <w:shd w:val="clear" w:color="auto" w:fill="auto"/>
            <w:vAlign w:val="center"/>
          </w:tcPr>
          <w:p>
            <w:pPr>
              <w:widowControl w:val="0"/>
              <w:snapToGrid w:val="0"/>
              <w:spacing w:line="240" w:lineRule="auto"/>
              <w:jc w:val="center"/>
              <w:rPr>
                <w:rFonts w:cs="仿宋"/>
                <w:sz w:val="20"/>
                <w:szCs w:val="20"/>
              </w:rPr>
            </w:pPr>
          </w:p>
        </w:tc>
        <w:tc>
          <w:tcPr>
            <w:tcW w:w="707" w:type="dxa"/>
            <w:vMerge w:val="continue"/>
            <w:vAlign w:val="center"/>
          </w:tcPr>
          <w:p>
            <w:pPr>
              <w:widowControl w:val="0"/>
              <w:snapToGrid w:val="0"/>
              <w:spacing w:line="240" w:lineRule="auto"/>
              <w:jc w:val="center"/>
              <w:rPr>
                <w:rFonts w:cs="仿宋"/>
                <w:sz w:val="20"/>
                <w:szCs w:val="20"/>
              </w:rPr>
            </w:pPr>
          </w:p>
        </w:tc>
        <w:tc>
          <w:tcPr>
            <w:tcW w:w="1573" w:type="dxa"/>
            <w:vMerge w:val="continue"/>
            <w:shd w:val="clear" w:color="auto" w:fill="auto"/>
            <w:vAlign w:val="center"/>
          </w:tcPr>
          <w:p>
            <w:pPr>
              <w:widowControl w:val="0"/>
              <w:snapToGrid w:val="0"/>
              <w:spacing w:line="240" w:lineRule="auto"/>
              <w:jc w:val="center"/>
              <w:rPr>
                <w:rFonts w:ascii="Times New Roman" w:hAnsi="Times New Roman" w:cs="仿宋"/>
                <w:sz w:val="20"/>
                <w:szCs w:val="20"/>
              </w:rPr>
            </w:pPr>
          </w:p>
        </w:tc>
        <w:tc>
          <w:tcPr>
            <w:tcW w:w="693" w:type="dxa"/>
            <w:vMerge w:val="continue"/>
            <w:vAlign w:val="center"/>
          </w:tcPr>
          <w:p>
            <w:pPr>
              <w:widowControl w:val="0"/>
              <w:snapToGrid w:val="0"/>
              <w:spacing w:line="240" w:lineRule="auto"/>
              <w:jc w:val="center"/>
              <w:rPr>
                <w:rFonts w:ascii="Times New Roman" w:hAnsi="Times New Roman" w:cs="仿宋"/>
                <w:sz w:val="20"/>
                <w:szCs w:val="20"/>
              </w:rPr>
            </w:pPr>
          </w:p>
        </w:tc>
        <w:tc>
          <w:tcPr>
            <w:tcW w:w="3840" w:type="dxa"/>
            <w:shd w:val="clear" w:color="auto" w:fill="auto"/>
            <w:vAlign w:val="center"/>
          </w:tcPr>
          <w:p>
            <w:pPr>
              <w:widowControl w:val="0"/>
              <w:snapToGrid w:val="0"/>
              <w:spacing w:line="240" w:lineRule="auto"/>
              <w:jc w:val="center"/>
              <w:rPr>
                <w:rFonts w:ascii="Times New Roman" w:hAnsi="Times New Roman" w:cs="仿宋"/>
                <w:sz w:val="20"/>
                <w:szCs w:val="20"/>
              </w:rPr>
            </w:pPr>
            <w:r>
              <w:rPr>
                <w:rFonts w:hint="eastAsia" w:ascii="Times New Roman" w:hAnsi="Times New Roman" w:cs="仿宋"/>
                <w:sz w:val="20"/>
                <w:szCs w:val="20"/>
              </w:rPr>
              <w:t>D22</w:t>
            </w:r>
            <w:r>
              <w:rPr>
                <w:rFonts w:hint="eastAsia" w:cs="仿宋_GB2312"/>
                <w:bCs/>
                <w:sz w:val="20"/>
                <w:szCs w:val="20"/>
              </w:rPr>
              <w:t>改善农民生产生活条件</w:t>
            </w:r>
          </w:p>
        </w:tc>
        <w:tc>
          <w:tcPr>
            <w:tcW w:w="708" w:type="dxa"/>
            <w:shd w:val="clear" w:color="auto" w:fill="auto"/>
            <w:vAlign w:val="center"/>
          </w:tcPr>
          <w:p>
            <w:pPr>
              <w:widowControl w:val="0"/>
              <w:snapToGrid w:val="0"/>
              <w:spacing w:line="240" w:lineRule="auto"/>
              <w:jc w:val="center"/>
              <w:rPr>
                <w:rFonts w:ascii="Times New Roman" w:hAnsi="Times New Roman" w:cs="仿宋"/>
                <w:sz w:val="20"/>
                <w:szCs w:val="20"/>
              </w:rPr>
            </w:pPr>
            <w:r>
              <w:rPr>
                <w:rFonts w:hint="eastAsia" w:ascii="Times New Roman" w:hAnsi="Times New Roman" w:cs="仿宋"/>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55" w:type="dxa"/>
            <w:vMerge w:val="continue"/>
            <w:shd w:val="clear" w:color="auto" w:fill="auto"/>
            <w:vAlign w:val="center"/>
          </w:tcPr>
          <w:p>
            <w:pPr>
              <w:widowControl w:val="0"/>
              <w:snapToGrid w:val="0"/>
              <w:spacing w:line="240" w:lineRule="auto"/>
              <w:jc w:val="center"/>
              <w:rPr>
                <w:rFonts w:cs="仿宋"/>
                <w:sz w:val="20"/>
                <w:szCs w:val="20"/>
              </w:rPr>
            </w:pPr>
          </w:p>
        </w:tc>
        <w:tc>
          <w:tcPr>
            <w:tcW w:w="707" w:type="dxa"/>
            <w:vMerge w:val="continue"/>
            <w:vAlign w:val="center"/>
          </w:tcPr>
          <w:p>
            <w:pPr>
              <w:widowControl w:val="0"/>
              <w:snapToGrid w:val="0"/>
              <w:spacing w:line="240" w:lineRule="auto"/>
              <w:jc w:val="center"/>
              <w:rPr>
                <w:rFonts w:cs="仿宋"/>
                <w:sz w:val="20"/>
                <w:szCs w:val="20"/>
              </w:rPr>
            </w:pPr>
          </w:p>
        </w:tc>
        <w:tc>
          <w:tcPr>
            <w:tcW w:w="1573" w:type="dxa"/>
            <w:vMerge w:val="restart"/>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D</w:t>
            </w:r>
            <w:r>
              <w:rPr>
                <w:rFonts w:hint="eastAsia" w:ascii="Times New Roman" w:hAnsi="Times New Roman" w:cs="仿宋"/>
                <w:sz w:val="20"/>
                <w:szCs w:val="20"/>
              </w:rPr>
              <w:t>3</w:t>
            </w:r>
            <w:r>
              <w:rPr>
                <w:rFonts w:hint="eastAsia" w:cs="仿宋"/>
                <w:sz w:val="20"/>
                <w:szCs w:val="20"/>
              </w:rPr>
              <w:t>可持续影响</w:t>
            </w:r>
          </w:p>
        </w:tc>
        <w:tc>
          <w:tcPr>
            <w:tcW w:w="693" w:type="dxa"/>
            <w:vMerge w:val="restart"/>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9</w:t>
            </w:r>
          </w:p>
        </w:tc>
        <w:tc>
          <w:tcPr>
            <w:tcW w:w="3840" w:type="dxa"/>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D31</w:t>
            </w:r>
            <w:r>
              <w:rPr>
                <w:rFonts w:hint="eastAsia" w:cs="仿宋_GB2312"/>
                <w:bCs/>
                <w:sz w:val="20"/>
                <w:szCs w:val="20"/>
              </w:rPr>
              <w:t>工程设计使用年限</w:t>
            </w:r>
          </w:p>
        </w:tc>
        <w:tc>
          <w:tcPr>
            <w:tcW w:w="708"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55" w:type="dxa"/>
            <w:vMerge w:val="continue"/>
            <w:shd w:val="clear" w:color="auto" w:fill="auto"/>
            <w:vAlign w:val="center"/>
          </w:tcPr>
          <w:p>
            <w:pPr>
              <w:widowControl w:val="0"/>
              <w:snapToGrid w:val="0"/>
              <w:spacing w:line="240" w:lineRule="auto"/>
              <w:jc w:val="center"/>
              <w:rPr>
                <w:rFonts w:cs="仿宋"/>
                <w:sz w:val="20"/>
                <w:szCs w:val="20"/>
              </w:rPr>
            </w:pPr>
          </w:p>
        </w:tc>
        <w:tc>
          <w:tcPr>
            <w:tcW w:w="707" w:type="dxa"/>
            <w:vMerge w:val="continue"/>
            <w:vAlign w:val="center"/>
          </w:tcPr>
          <w:p>
            <w:pPr>
              <w:widowControl w:val="0"/>
              <w:snapToGrid w:val="0"/>
              <w:spacing w:line="240" w:lineRule="auto"/>
              <w:jc w:val="center"/>
              <w:rPr>
                <w:rFonts w:cs="仿宋"/>
                <w:sz w:val="20"/>
                <w:szCs w:val="20"/>
              </w:rPr>
            </w:pPr>
          </w:p>
        </w:tc>
        <w:tc>
          <w:tcPr>
            <w:tcW w:w="1573" w:type="dxa"/>
            <w:vMerge w:val="continue"/>
            <w:shd w:val="clear" w:color="auto" w:fill="auto"/>
            <w:vAlign w:val="center"/>
          </w:tcPr>
          <w:p>
            <w:pPr>
              <w:widowControl w:val="0"/>
              <w:snapToGrid w:val="0"/>
              <w:spacing w:line="240" w:lineRule="auto"/>
              <w:jc w:val="center"/>
              <w:rPr>
                <w:rFonts w:cs="仿宋"/>
                <w:sz w:val="20"/>
                <w:szCs w:val="20"/>
              </w:rPr>
            </w:pPr>
          </w:p>
        </w:tc>
        <w:tc>
          <w:tcPr>
            <w:tcW w:w="693" w:type="dxa"/>
            <w:vMerge w:val="continue"/>
            <w:vAlign w:val="center"/>
          </w:tcPr>
          <w:p>
            <w:pPr>
              <w:widowControl w:val="0"/>
              <w:snapToGrid w:val="0"/>
              <w:spacing w:line="240" w:lineRule="auto"/>
              <w:jc w:val="center"/>
              <w:rPr>
                <w:rFonts w:cs="仿宋"/>
                <w:sz w:val="20"/>
                <w:szCs w:val="20"/>
              </w:rPr>
            </w:pPr>
          </w:p>
        </w:tc>
        <w:tc>
          <w:tcPr>
            <w:tcW w:w="3840" w:type="dxa"/>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D</w:t>
            </w:r>
            <w:r>
              <w:rPr>
                <w:rFonts w:hint="eastAsia" w:ascii="Times New Roman" w:hAnsi="Times New Roman" w:cs="仿宋"/>
                <w:sz w:val="20"/>
                <w:szCs w:val="20"/>
              </w:rPr>
              <w:t>32</w:t>
            </w:r>
            <w:r>
              <w:rPr>
                <w:rFonts w:hint="eastAsia" w:cs="仿宋"/>
                <w:sz w:val="20"/>
                <w:szCs w:val="20"/>
              </w:rPr>
              <w:t>后期维护管护</w:t>
            </w:r>
          </w:p>
        </w:tc>
        <w:tc>
          <w:tcPr>
            <w:tcW w:w="708"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55" w:type="dxa"/>
            <w:vMerge w:val="continue"/>
            <w:shd w:val="clear" w:color="auto" w:fill="auto"/>
            <w:vAlign w:val="center"/>
          </w:tcPr>
          <w:p>
            <w:pPr>
              <w:widowControl w:val="0"/>
              <w:snapToGrid w:val="0"/>
              <w:spacing w:line="240" w:lineRule="auto"/>
              <w:jc w:val="center"/>
              <w:rPr>
                <w:rFonts w:cs="仿宋"/>
                <w:sz w:val="20"/>
                <w:szCs w:val="20"/>
              </w:rPr>
            </w:pPr>
          </w:p>
        </w:tc>
        <w:tc>
          <w:tcPr>
            <w:tcW w:w="707" w:type="dxa"/>
            <w:vMerge w:val="continue"/>
            <w:vAlign w:val="center"/>
          </w:tcPr>
          <w:p>
            <w:pPr>
              <w:widowControl w:val="0"/>
              <w:snapToGrid w:val="0"/>
              <w:spacing w:line="240" w:lineRule="auto"/>
              <w:jc w:val="center"/>
              <w:rPr>
                <w:rFonts w:cs="仿宋"/>
                <w:sz w:val="20"/>
                <w:szCs w:val="20"/>
              </w:rPr>
            </w:pPr>
          </w:p>
        </w:tc>
        <w:tc>
          <w:tcPr>
            <w:tcW w:w="1573" w:type="dxa"/>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D</w:t>
            </w:r>
            <w:r>
              <w:rPr>
                <w:rFonts w:hint="eastAsia" w:ascii="Times New Roman" w:hAnsi="Times New Roman" w:cs="仿宋"/>
                <w:sz w:val="20"/>
                <w:szCs w:val="20"/>
              </w:rPr>
              <w:t>4</w:t>
            </w:r>
            <w:r>
              <w:rPr>
                <w:rFonts w:hint="eastAsia" w:cs="仿宋"/>
                <w:sz w:val="20"/>
                <w:szCs w:val="20"/>
              </w:rPr>
              <w:t>满意度</w:t>
            </w:r>
          </w:p>
        </w:tc>
        <w:tc>
          <w:tcPr>
            <w:tcW w:w="693" w:type="dxa"/>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8</w:t>
            </w:r>
          </w:p>
        </w:tc>
        <w:tc>
          <w:tcPr>
            <w:tcW w:w="3840" w:type="dxa"/>
            <w:shd w:val="clear" w:color="auto" w:fill="auto"/>
            <w:vAlign w:val="center"/>
          </w:tcPr>
          <w:p>
            <w:pPr>
              <w:widowControl w:val="0"/>
              <w:snapToGrid w:val="0"/>
              <w:spacing w:line="240" w:lineRule="auto"/>
              <w:jc w:val="center"/>
              <w:rPr>
                <w:rFonts w:cs="仿宋"/>
                <w:sz w:val="20"/>
                <w:szCs w:val="20"/>
              </w:rPr>
            </w:pPr>
            <w:r>
              <w:rPr>
                <w:rFonts w:ascii="Times New Roman" w:hAnsi="Times New Roman" w:cs="仿宋"/>
                <w:sz w:val="20"/>
                <w:szCs w:val="20"/>
              </w:rPr>
              <w:t>D5</w:t>
            </w:r>
            <w:r>
              <w:rPr>
                <w:rFonts w:hint="eastAsia" w:ascii="Times New Roman" w:hAnsi="Times New Roman" w:cs="仿宋"/>
                <w:sz w:val="20"/>
                <w:szCs w:val="20"/>
              </w:rPr>
              <w:t>1</w:t>
            </w:r>
            <w:r>
              <w:rPr>
                <w:rFonts w:hint="eastAsia" w:cs="仿宋"/>
                <w:sz w:val="20"/>
                <w:szCs w:val="20"/>
              </w:rPr>
              <w:t>贫困人口满意度</w:t>
            </w:r>
          </w:p>
        </w:tc>
        <w:tc>
          <w:tcPr>
            <w:tcW w:w="708"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68" w:type="dxa"/>
            <w:gridSpan w:val="5"/>
            <w:vAlign w:val="center"/>
          </w:tcPr>
          <w:p>
            <w:pPr>
              <w:widowControl w:val="0"/>
              <w:snapToGrid w:val="0"/>
              <w:spacing w:line="240" w:lineRule="auto"/>
              <w:jc w:val="center"/>
              <w:rPr>
                <w:rFonts w:cs="仿宋"/>
                <w:sz w:val="20"/>
                <w:szCs w:val="20"/>
              </w:rPr>
            </w:pPr>
            <w:r>
              <w:rPr>
                <w:rFonts w:hint="eastAsia" w:cs="仿宋"/>
                <w:sz w:val="20"/>
                <w:szCs w:val="20"/>
              </w:rPr>
              <w:t>合       计</w:t>
            </w:r>
          </w:p>
        </w:tc>
        <w:tc>
          <w:tcPr>
            <w:tcW w:w="708" w:type="dxa"/>
            <w:shd w:val="clear" w:color="auto" w:fill="auto"/>
            <w:vAlign w:val="center"/>
          </w:tcPr>
          <w:p>
            <w:pPr>
              <w:widowControl w:val="0"/>
              <w:snapToGrid w:val="0"/>
              <w:spacing w:line="240" w:lineRule="auto"/>
              <w:jc w:val="center"/>
              <w:rPr>
                <w:rFonts w:cs="仿宋"/>
                <w:sz w:val="20"/>
                <w:szCs w:val="20"/>
              </w:rPr>
            </w:pPr>
            <w:r>
              <w:rPr>
                <w:rFonts w:hint="eastAsia" w:ascii="Times New Roman" w:hAnsi="Times New Roman" w:cs="仿宋"/>
                <w:sz w:val="20"/>
                <w:szCs w:val="20"/>
              </w:rPr>
              <w:t>100</w:t>
            </w:r>
          </w:p>
        </w:tc>
      </w:tr>
    </w:tbl>
    <w:p>
      <w:pPr>
        <w:pStyle w:val="2"/>
        <w:sectPr>
          <w:pgSz w:w="11906" w:h="16838"/>
          <w:pgMar w:top="2098" w:right="1531" w:bottom="1985" w:left="1531" w:header="851" w:footer="992" w:gutter="0"/>
          <w:pgNumType w:fmt="numberInDash"/>
          <w:cols w:space="720" w:num="1"/>
          <w:docGrid w:linePitch="312" w:charSpace="0"/>
        </w:sectPr>
      </w:pPr>
    </w:p>
    <w:p>
      <w:pPr>
        <w:outlineLvl w:val="0"/>
        <w:rPr>
          <w:rFonts w:ascii="黑体" w:hAnsi="黑体" w:eastAsia="黑体" w:cs="Times New Roman"/>
          <w:sz w:val="30"/>
          <w:szCs w:val="30"/>
        </w:rPr>
      </w:pPr>
      <w:bookmarkStart w:id="90" w:name="_Toc5082"/>
      <w:r>
        <w:rPr>
          <w:rFonts w:ascii="黑体" w:hAnsi="黑体" w:eastAsia="黑体" w:cs="Times New Roman"/>
          <w:sz w:val="30"/>
          <w:szCs w:val="30"/>
        </w:rPr>
        <w:t>附件</w:t>
      </w:r>
      <w:r>
        <w:rPr>
          <w:rFonts w:ascii="Times New Roman" w:hAnsi="Times New Roman" w:eastAsia="黑体" w:cs="Times New Roman"/>
          <w:sz w:val="30"/>
          <w:szCs w:val="30"/>
        </w:rPr>
        <w:t>2</w:t>
      </w:r>
      <w:r>
        <w:rPr>
          <w:rFonts w:ascii="黑体" w:hAnsi="黑体" w:eastAsia="黑体" w:cs="Times New Roman"/>
          <w:sz w:val="30"/>
          <w:szCs w:val="30"/>
        </w:rPr>
        <w:t>：</w:t>
      </w:r>
      <w:bookmarkEnd w:id="87"/>
      <w:bookmarkEnd w:id="88"/>
      <w:bookmarkEnd w:id="89"/>
      <w:bookmarkEnd w:id="90"/>
    </w:p>
    <w:p>
      <w:pPr>
        <w:spacing w:before="100" w:beforeAutospacing="1"/>
        <w:jc w:val="center"/>
        <w:rPr>
          <w:rFonts w:ascii="黑体" w:hAnsi="黑体" w:eastAsia="黑体" w:cs="Times New Roman"/>
          <w:sz w:val="32"/>
          <w:szCs w:val="32"/>
        </w:rPr>
      </w:pPr>
      <w:r>
        <w:rPr>
          <w:rFonts w:hint="eastAsia" w:ascii="Times New Roman" w:hAnsi="Times New Roman" w:eastAsia="黑体" w:cs="Times New Roman"/>
          <w:sz w:val="32"/>
          <w:szCs w:val="32"/>
        </w:rPr>
        <w:t>2019年平陆县圣人涧镇营村村一组至二组道路建设工程项目</w:t>
      </w:r>
      <w:r>
        <w:rPr>
          <w:rFonts w:hint="eastAsia" w:ascii="黑体" w:hAnsi="黑体" w:eastAsia="黑体" w:cs="Times New Roman"/>
          <w:sz w:val="32"/>
          <w:szCs w:val="32"/>
        </w:rPr>
        <w:t>绩效评价指标评分表</w:t>
      </w:r>
    </w:p>
    <w:tbl>
      <w:tblPr>
        <w:tblStyle w:val="18"/>
        <w:tblW w:w="14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688"/>
        <w:gridCol w:w="780"/>
        <w:gridCol w:w="757"/>
        <w:gridCol w:w="1136"/>
        <w:gridCol w:w="775"/>
        <w:gridCol w:w="3305"/>
        <w:gridCol w:w="4111"/>
        <w:gridCol w:w="716"/>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907" w:type="dxa"/>
            <w:shd w:val="clear" w:color="000000" w:fill="A6A6A6"/>
            <w:vAlign w:val="center"/>
          </w:tcPr>
          <w:p>
            <w:pPr>
              <w:spacing w:line="240" w:lineRule="auto"/>
              <w:jc w:val="center"/>
              <w:rPr>
                <w:b/>
                <w:bCs/>
                <w:color w:val="000000"/>
                <w:sz w:val="22"/>
                <w:szCs w:val="22"/>
              </w:rPr>
            </w:pPr>
            <w:r>
              <w:rPr>
                <w:rFonts w:hint="eastAsia"/>
                <w:b/>
                <w:bCs/>
                <w:color w:val="000000"/>
                <w:sz w:val="22"/>
                <w:szCs w:val="22"/>
              </w:rPr>
              <w:t>一级指标</w:t>
            </w:r>
          </w:p>
        </w:tc>
        <w:tc>
          <w:tcPr>
            <w:tcW w:w="688" w:type="dxa"/>
            <w:shd w:val="clear" w:color="000000" w:fill="A6A6A6"/>
            <w:vAlign w:val="center"/>
          </w:tcPr>
          <w:p>
            <w:pPr>
              <w:spacing w:line="240" w:lineRule="auto"/>
              <w:jc w:val="center"/>
              <w:rPr>
                <w:b/>
                <w:bCs/>
                <w:color w:val="000000"/>
                <w:sz w:val="22"/>
                <w:szCs w:val="22"/>
              </w:rPr>
            </w:pPr>
            <w:r>
              <w:rPr>
                <w:rFonts w:hint="eastAsia"/>
                <w:b/>
                <w:bCs/>
                <w:color w:val="000000"/>
                <w:sz w:val="22"/>
                <w:szCs w:val="22"/>
              </w:rPr>
              <w:t>分值</w:t>
            </w:r>
          </w:p>
        </w:tc>
        <w:tc>
          <w:tcPr>
            <w:tcW w:w="780" w:type="dxa"/>
            <w:shd w:val="clear" w:color="000000" w:fill="A6A6A6"/>
            <w:vAlign w:val="center"/>
          </w:tcPr>
          <w:p>
            <w:pPr>
              <w:spacing w:line="240" w:lineRule="auto"/>
              <w:jc w:val="center"/>
              <w:rPr>
                <w:b/>
                <w:bCs/>
                <w:color w:val="000000"/>
                <w:sz w:val="22"/>
                <w:szCs w:val="22"/>
              </w:rPr>
            </w:pPr>
            <w:r>
              <w:rPr>
                <w:rFonts w:hint="eastAsia"/>
                <w:b/>
                <w:bCs/>
                <w:color w:val="000000"/>
                <w:sz w:val="22"/>
                <w:szCs w:val="22"/>
              </w:rPr>
              <w:t>二级指标</w:t>
            </w:r>
          </w:p>
        </w:tc>
        <w:tc>
          <w:tcPr>
            <w:tcW w:w="757" w:type="dxa"/>
            <w:shd w:val="clear" w:color="000000" w:fill="A6A6A6"/>
            <w:vAlign w:val="center"/>
          </w:tcPr>
          <w:p>
            <w:pPr>
              <w:spacing w:line="240" w:lineRule="auto"/>
              <w:jc w:val="center"/>
              <w:rPr>
                <w:b/>
                <w:bCs/>
                <w:color w:val="000000"/>
                <w:sz w:val="22"/>
                <w:szCs w:val="22"/>
              </w:rPr>
            </w:pPr>
            <w:r>
              <w:rPr>
                <w:rFonts w:hint="eastAsia"/>
                <w:b/>
                <w:bCs/>
                <w:color w:val="000000"/>
                <w:sz w:val="22"/>
                <w:szCs w:val="22"/>
              </w:rPr>
              <w:t>分值</w:t>
            </w:r>
          </w:p>
        </w:tc>
        <w:tc>
          <w:tcPr>
            <w:tcW w:w="1136" w:type="dxa"/>
            <w:shd w:val="clear" w:color="000000" w:fill="A6A6A6"/>
            <w:vAlign w:val="center"/>
          </w:tcPr>
          <w:p>
            <w:pPr>
              <w:spacing w:line="240" w:lineRule="auto"/>
              <w:jc w:val="center"/>
              <w:rPr>
                <w:b/>
                <w:bCs/>
                <w:color w:val="000000"/>
                <w:sz w:val="22"/>
                <w:szCs w:val="22"/>
              </w:rPr>
            </w:pPr>
            <w:r>
              <w:rPr>
                <w:rFonts w:hint="eastAsia"/>
                <w:b/>
                <w:bCs/>
                <w:color w:val="000000"/>
                <w:sz w:val="22"/>
                <w:szCs w:val="22"/>
              </w:rPr>
              <w:t>三级指标</w:t>
            </w:r>
          </w:p>
        </w:tc>
        <w:tc>
          <w:tcPr>
            <w:tcW w:w="775" w:type="dxa"/>
            <w:shd w:val="clear" w:color="000000" w:fill="A6A6A6"/>
            <w:vAlign w:val="center"/>
          </w:tcPr>
          <w:p>
            <w:pPr>
              <w:spacing w:line="240" w:lineRule="auto"/>
              <w:jc w:val="center"/>
              <w:rPr>
                <w:b/>
                <w:bCs/>
                <w:color w:val="000000"/>
                <w:sz w:val="22"/>
                <w:szCs w:val="22"/>
              </w:rPr>
            </w:pPr>
            <w:r>
              <w:rPr>
                <w:rFonts w:hint="eastAsia"/>
                <w:b/>
                <w:bCs/>
                <w:color w:val="000000"/>
                <w:sz w:val="22"/>
                <w:szCs w:val="22"/>
              </w:rPr>
              <w:t>分值</w:t>
            </w:r>
          </w:p>
        </w:tc>
        <w:tc>
          <w:tcPr>
            <w:tcW w:w="3305" w:type="dxa"/>
            <w:shd w:val="clear" w:color="000000" w:fill="A6A6A6"/>
            <w:vAlign w:val="center"/>
          </w:tcPr>
          <w:p>
            <w:pPr>
              <w:spacing w:line="240" w:lineRule="auto"/>
              <w:jc w:val="center"/>
              <w:rPr>
                <w:b/>
                <w:bCs/>
                <w:color w:val="000000"/>
                <w:sz w:val="22"/>
                <w:szCs w:val="22"/>
              </w:rPr>
            </w:pPr>
            <w:r>
              <w:rPr>
                <w:rFonts w:hint="eastAsia"/>
                <w:b/>
                <w:bCs/>
                <w:color w:val="000000"/>
                <w:sz w:val="22"/>
                <w:szCs w:val="22"/>
              </w:rPr>
              <w:t>指标内容/计算公式</w:t>
            </w:r>
          </w:p>
        </w:tc>
        <w:tc>
          <w:tcPr>
            <w:tcW w:w="4111" w:type="dxa"/>
            <w:shd w:val="clear" w:color="000000" w:fill="A6A6A6"/>
            <w:vAlign w:val="center"/>
          </w:tcPr>
          <w:p>
            <w:pPr>
              <w:spacing w:line="240" w:lineRule="auto"/>
              <w:jc w:val="center"/>
              <w:rPr>
                <w:b/>
                <w:bCs/>
                <w:color w:val="000000"/>
                <w:sz w:val="22"/>
                <w:szCs w:val="22"/>
              </w:rPr>
            </w:pPr>
            <w:r>
              <w:rPr>
                <w:rFonts w:hint="eastAsia"/>
                <w:b/>
                <w:bCs/>
                <w:color w:val="000000"/>
                <w:sz w:val="22"/>
                <w:szCs w:val="22"/>
              </w:rPr>
              <w:t>评价标准</w:t>
            </w:r>
          </w:p>
        </w:tc>
        <w:tc>
          <w:tcPr>
            <w:tcW w:w="716" w:type="dxa"/>
            <w:shd w:val="clear" w:color="000000" w:fill="A6A6A6"/>
            <w:vAlign w:val="center"/>
          </w:tcPr>
          <w:p>
            <w:pPr>
              <w:spacing w:line="240" w:lineRule="auto"/>
              <w:jc w:val="center"/>
              <w:rPr>
                <w:b/>
                <w:bCs/>
                <w:color w:val="000000"/>
                <w:sz w:val="22"/>
                <w:szCs w:val="22"/>
              </w:rPr>
            </w:pPr>
            <w:r>
              <w:rPr>
                <w:rFonts w:hint="eastAsia"/>
                <w:b/>
                <w:bCs/>
                <w:color w:val="000000"/>
                <w:sz w:val="22"/>
                <w:szCs w:val="22"/>
              </w:rPr>
              <w:t>评分</w:t>
            </w:r>
          </w:p>
        </w:tc>
        <w:tc>
          <w:tcPr>
            <w:tcW w:w="1137" w:type="dxa"/>
            <w:shd w:val="clear" w:color="000000" w:fill="A6A6A6"/>
            <w:vAlign w:val="center"/>
          </w:tcPr>
          <w:p>
            <w:pPr>
              <w:spacing w:line="240" w:lineRule="auto"/>
              <w:jc w:val="center"/>
              <w:rPr>
                <w:b/>
                <w:bCs/>
                <w:color w:val="000000"/>
                <w:sz w:val="22"/>
                <w:szCs w:val="22"/>
              </w:rPr>
            </w:pPr>
            <w:r>
              <w:rPr>
                <w:rFonts w:hint="eastAsia"/>
                <w:b/>
                <w:bCs/>
                <w:color w:val="000000"/>
                <w:sz w:val="22"/>
                <w:szCs w:val="22"/>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7" w:type="dxa"/>
            <w:vMerge w:val="restart"/>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w:t>
            </w:r>
            <w:r>
              <w:rPr>
                <w:rFonts w:hint="eastAsia" w:cs="Times New Roman"/>
                <w:color w:val="000000"/>
                <w:sz w:val="20"/>
                <w:szCs w:val="20"/>
              </w:rPr>
              <w:t>决策</w:t>
            </w:r>
          </w:p>
        </w:tc>
        <w:tc>
          <w:tcPr>
            <w:tcW w:w="688" w:type="dxa"/>
            <w:vMerge w:val="restart"/>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780" w:type="dxa"/>
            <w:vMerge w:val="restart"/>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A1</w:t>
            </w:r>
            <w:r>
              <w:rPr>
                <w:rFonts w:hint="eastAsia" w:cs="Times New Roman"/>
                <w:color w:val="000000"/>
                <w:sz w:val="20"/>
                <w:szCs w:val="20"/>
              </w:rPr>
              <w:t>项目立项</w:t>
            </w:r>
          </w:p>
        </w:tc>
        <w:tc>
          <w:tcPr>
            <w:tcW w:w="757" w:type="dxa"/>
            <w:vMerge w:val="restart"/>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136" w:type="dxa"/>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A11</w:t>
            </w:r>
            <w:r>
              <w:rPr>
                <w:rFonts w:hint="eastAsia" w:cs="Times New Roman"/>
                <w:color w:val="000000"/>
                <w:sz w:val="20"/>
                <w:szCs w:val="20"/>
              </w:rPr>
              <w:t>立项依据充分性</w:t>
            </w:r>
          </w:p>
        </w:tc>
        <w:tc>
          <w:tcPr>
            <w:tcW w:w="775" w:type="dxa"/>
            <w:shd w:val="clear" w:color="auto" w:fill="auto"/>
            <w:noWrap/>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3305" w:type="dxa"/>
            <w:shd w:val="clear" w:color="auto" w:fill="auto"/>
            <w:vAlign w:val="center"/>
          </w:tcPr>
          <w:p>
            <w:pPr>
              <w:spacing w:line="240" w:lineRule="auto"/>
              <w:rPr>
                <w:color w:val="000000"/>
                <w:sz w:val="20"/>
                <w:szCs w:val="20"/>
              </w:rPr>
            </w:pPr>
            <w:r>
              <w:rPr>
                <w:rFonts w:hint="eastAsia"/>
                <w:color w:val="000000"/>
                <w:sz w:val="20"/>
                <w:szCs w:val="20"/>
              </w:rPr>
              <w:t>项目立项是否符合法律法规、相关政策、发展规划以及部门职责，用以反映和考核项目立项依据情况。</w:t>
            </w:r>
          </w:p>
        </w:tc>
        <w:tc>
          <w:tcPr>
            <w:tcW w:w="4111" w:type="dxa"/>
            <w:shd w:val="clear" w:color="auto" w:fill="auto"/>
            <w:vAlign w:val="center"/>
          </w:tcPr>
          <w:p>
            <w:pPr>
              <w:spacing w:line="240" w:lineRule="auto"/>
              <w:rPr>
                <w:rFonts w:cs="Times New Roman"/>
                <w:color w:val="000000"/>
                <w:sz w:val="20"/>
                <w:szCs w:val="20"/>
              </w:rPr>
            </w:pPr>
            <w:r>
              <w:rPr>
                <w:rFonts w:ascii="Times New Roman" w:hAnsi="Times New Roman" w:cs="Times New Roman"/>
                <w:color w:val="000000"/>
                <w:sz w:val="20"/>
                <w:szCs w:val="20"/>
              </w:rPr>
              <w:t>1</w:t>
            </w:r>
            <w:r>
              <w:rPr>
                <w:rFonts w:hint="eastAsia" w:cs="Times New Roman"/>
                <w:color w:val="000000"/>
                <w:sz w:val="20"/>
                <w:szCs w:val="20"/>
              </w:rPr>
              <w:t>.</w:t>
            </w:r>
            <w:r>
              <w:rPr>
                <w:rFonts w:hint="eastAsia"/>
                <w:sz w:val="20"/>
                <w:szCs w:val="20"/>
              </w:rPr>
              <w:t xml:space="preserve"> 项目符合平陆县人民政府《关于平陆县2019年统筹整合使用财政资金实施精准扶贫实施方案的通知》（平政发〔2019〕7号）和《平陆县脱贫攻坚领导小组办公室&lt;关于下达2019年第一批涉农资金整合项目计划及相关立项审批事项&gt;的通知》（平脱贫攻坚组办〔2019〕7号）等文件规定等相关政策</w:t>
            </w:r>
            <w:r>
              <w:rPr>
                <w:rFonts w:hint="eastAsia" w:cs="Times New Roman"/>
                <w:color w:val="000000"/>
                <w:sz w:val="20"/>
                <w:szCs w:val="20"/>
              </w:rPr>
              <w:t>（</w:t>
            </w:r>
            <w:r>
              <w:rPr>
                <w:rFonts w:ascii="Times New Roman" w:hAnsi="Times New Roman" w:cs="Times New Roman"/>
                <w:color w:val="000000"/>
                <w:sz w:val="20"/>
                <w:szCs w:val="20"/>
              </w:rPr>
              <w:t>2</w:t>
            </w:r>
            <w:r>
              <w:rPr>
                <w:rFonts w:hint="eastAsia" w:cs="Times New Roman"/>
                <w:color w:val="000000"/>
                <w:sz w:val="20"/>
                <w:szCs w:val="20"/>
              </w:rPr>
              <w:t>分）；</w:t>
            </w:r>
            <w:r>
              <w:rPr>
                <w:rFonts w:ascii="Times New Roman" w:hAnsi="Times New Roman" w:cs="Times New Roman"/>
                <w:color w:val="000000"/>
                <w:sz w:val="20"/>
                <w:szCs w:val="20"/>
              </w:rPr>
              <w:t>2</w:t>
            </w:r>
            <w:r>
              <w:rPr>
                <w:rFonts w:hint="eastAsia" w:cs="Times New Roman"/>
                <w:color w:val="000000"/>
                <w:sz w:val="20"/>
                <w:szCs w:val="20"/>
              </w:rPr>
              <w:t>. 项目符合国家、省发展规划和政策要求（</w:t>
            </w:r>
            <w:r>
              <w:rPr>
                <w:rFonts w:ascii="Times New Roman" w:hAnsi="Times New Roman" w:cs="Times New Roman"/>
                <w:color w:val="000000"/>
                <w:sz w:val="20"/>
                <w:szCs w:val="20"/>
              </w:rPr>
              <w:t>1</w:t>
            </w:r>
            <w:r>
              <w:rPr>
                <w:rFonts w:hint="eastAsia" w:cs="Times New Roman"/>
                <w:color w:val="000000"/>
                <w:sz w:val="20"/>
                <w:szCs w:val="20"/>
              </w:rPr>
              <w:t>分）；</w:t>
            </w:r>
            <w:r>
              <w:rPr>
                <w:rFonts w:ascii="Times New Roman" w:hAnsi="Times New Roman" w:cs="Times New Roman"/>
                <w:color w:val="000000"/>
                <w:sz w:val="20"/>
                <w:szCs w:val="20"/>
              </w:rPr>
              <w:t>3</w:t>
            </w:r>
            <w:r>
              <w:rPr>
                <w:rFonts w:hint="eastAsia" w:cs="Times New Roman"/>
                <w:color w:val="000000"/>
                <w:sz w:val="20"/>
                <w:szCs w:val="20"/>
              </w:rPr>
              <w:t>.项目与部门职责范围相符，属于部门履职所需（</w:t>
            </w:r>
            <w:r>
              <w:rPr>
                <w:rFonts w:ascii="Times New Roman" w:hAnsi="Times New Roman" w:cs="Times New Roman"/>
                <w:color w:val="000000"/>
                <w:sz w:val="20"/>
                <w:szCs w:val="20"/>
              </w:rPr>
              <w:t>1</w:t>
            </w:r>
            <w:r>
              <w:rPr>
                <w:rFonts w:hint="eastAsia" w:cs="Times New Roman"/>
                <w:color w:val="000000"/>
                <w:sz w:val="20"/>
                <w:szCs w:val="20"/>
              </w:rPr>
              <w:t>分）；</w:t>
            </w:r>
            <w:r>
              <w:rPr>
                <w:rFonts w:ascii="Times New Roman" w:hAnsi="Times New Roman" w:cs="Times New Roman"/>
                <w:color w:val="000000"/>
                <w:sz w:val="20"/>
                <w:szCs w:val="20"/>
              </w:rPr>
              <w:t>4</w:t>
            </w:r>
            <w:r>
              <w:rPr>
                <w:rFonts w:hint="eastAsia" w:cs="Times New Roman"/>
                <w:color w:val="000000"/>
                <w:sz w:val="20"/>
                <w:szCs w:val="20"/>
              </w:rPr>
              <w:t>.项目属于公共财政支持范围，符合地方财政事权和支出责任划分原则（</w:t>
            </w:r>
            <w:r>
              <w:rPr>
                <w:rFonts w:ascii="Times New Roman" w:hAnsi="Times New Roman" w:cs="Times New Roman"/>
                <w:color w:val="000000"/>
                <w:sz w:val="20"/>
                <w:szCs w:val="20"/>
              </w:rPr>
              <w:t>1</w:t>
            </w:r>
            <w:r>
              <w:rPr>
                <w:rFonts w:hint="eastAsia" w:cs="Times New Roman"/>
                <w:color w:val="000000"/>
                <w:sz w:val="20"/>
                <w:szCs w:val="20"/>
              </w:rPr>
              <w:t>分）；</w:t>
            </w:r>
            <w:r>
              <w:rPr>
                <w:rFonts w:ascii="Times New Roman" w:hAnsi="Times New Roman" w:cs="Times New Roman"/>
                <w:color w:val="000000"/>
                <w:sz w:val="20"/>
                <w:szCs w:val="20"/>
              </w:rPr>
              <w:t>5</w:t>
            </w:r>
            <w:r>
              <w:rPr>
                <w:rFonts w:hint="eastAsia" w:cs="Times New Roman"/>
                <w:color w:val="000000"/>
                <w:sz w:val="20"/>
                <w:szCs w:val="20"/>
              </w:rPr>
              <w:t>.项目没有与相关部门同类项目或部门内部相关项目重复（</w:t>
            </w:r>
            <w:r>
              <w:rPr>
                <w:rFonts w:ascii="Times New Roman" w:hAnsi="Times New Roman" w:cs="Times New Roman"/>
                <w:color w:val="000000"/>
                <w:sz w:val="20"/>
                <w:szCs w:val="20"/>
              </w:rPr>
              <w:t>1</w:t>
            </w:r>
            <w:r>
              <w:rPr>
                <w:rFonts w:hint="eastAsia" w:cs="Times New Roman"/>
                <w:color w:val="000000"/>
                <w:sz w:val="20"/>
                <w:szCs w:val="20"/>
              </w:rPr>
              <w:t>分）。</w:t>
            </w:r>
          </w:p>
        </w:tc>
        <w:tc>
          <w:tcPr>
            <w:tcW w:w="716" w:type="dxa"/>
            <w:shd w:val="clear" w:color="auto" w:fill="auto"/>
            <w:vAlign w:val="center"/>
          </w:tcPr>
          <w:p>
            <w:pPr>
              <w:spacing w:line="240" w:lineRule="auto"/>
              <w:jc w:val="center"/>
              <w:rPr>
                <w:color w:val="000000"/>
                <w:sz w:val="20"/>
                <w:szCs w:val="20"/>
              </w:rPr>
            </w:pPr>
            <w:r>
              <w:rPr>
                <w:rFonts w:hint="eastAsia"/>
                <w:color w:val="000000"/>
                <w:sz w:val="20"/>
                <w:szCs w:val="20"/>
              </w:rPr>
              <w:t>6</w:t>
            </w:r>
          </w:p>
        </w:tc>
        <w:tc>
          <w:tcPr>
            <w:tcW w:w="1137" w:type="dxa"/>
            <w:shd w:val="clear" w:color="auto" w:fill="auto"/>
            <w:vAlign w:val="center"/>
          </w:tcPr>
          <w:p>
            <w:pPr>
              <w:spacing w:line="240" w:lineRule="auto"/>
              <w:jc w:val="center"/>
              <w:rPr>
                <w:color w:val="000000"/>
                <w:sz w:val="20"/>
                <w:szCs w:val="20"/>
              </w:rPr>
            </w:pPr>
            <w:r>
              <w:rPr>
                <w:rFonts w:hint="eastAsia"/>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7" w:type="dxa"/>
            <w:vMerge w:val="continue"/>
            <w:vAlign w:val="center"/>
          </w:tcPr>
          <w:p>
            <w:pPr>
              <w:spacing w:line="240" w:lineRule="auto"/>
              <w:jc w:val="left"/>
              <w:rPr>
                <w:rFonts w:ascii="Times New Roman" w:hAnsi="Times New Roman" w:cs="Times New Roman"/>
                <w:color w:val="000000"/>
                <w:sz w:val="20"/>
                <w:szCs w:val="20"/>
              </w:rPr>
            </w:pPr>
          </w:p>
        </w:tc>
        <w:tc>
          <w:tcPr>
            <w:tcW w:w="688" w:type="dxa"/>
            <w:vMerge w:val="continue"/>
            <w:vAlign w:val="center"/>
          </w:tcPr>
          <w:p>
            <w:pPr>
              <w:spacing w:line="240" w:lineRule="auto"/>
              <w:jc w:val="left"/>
              <w:rPr>
                <w:rFonts w:ascii="Times New Roman" w:hAnsi="Times New Roman" w:cs="Times New Roman"/>
                <w:color w:val="000000"/>
                <w:sz w:val="20"/>
                <w:szCs w:val="20"/>
              </w:rPr>
            </w:pPr>
          </w:p>
        </w:tc>
        <w:tc>
          <w:tcPr>
            <w:tcW w:w="780" w:type="dxa"/>
            <w:vMerge w:val="continue"/>
            <w:vAlign w:val="center"/>
          </w:tcPr>
          <w:p>
            <w:pPr>
              <w:spacing w:line="240" w:lineRule="auto"/>
              <w:jc w:val="left"/>
              <w:rPr>
                <w:rFonts w:ascii="Times New Roman" w:hAnsi="Times New Roman" w:cs="Times New Roman"/>
                <w:color w:val="000000"/>
                <w:sz w:val="20"/>
                <w:szCs w:val="20"/>
              </w:rPr>
            </w:pPr>
          </w:p>
        </w:tc>
        <w:tc>
          <w:tcPr>
            <w:tcW w:w="757" w:type="dxa"/>
            <w:vMerge w:val="continue"/>
            <w:vAlign w:val="center"/>
          </w:tcPr>
          <w:p>
            <w:pPr>
              <w:spacing w:line="240" w:lineRule="auto"/>
              <w:jc w:val="left"/>
              <w:rPr>
                <w:rFonts w:ascii="Times New Roman" w:hAnsi="Times New Roman" w:cs="Times New Roman"/>
                <w:color w:val="000000"/>
                <w:sz w:val="20"/>
                <w:szCs w:val="20"/>
              </w:rPr>
            </w:pPr>
          </w:p>
        </w:tc>
        <w:tc>
          <w:tcPr>
            <w:tcW w:w="1136" w:type="dxa"/>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A12</w:t>
            </w:r>
            <w:r>
              <w:rPr>
                <w:rFonts w:hint="eastAsia" w:cs="Times New Roman"/>
                <w:color w:val="000000"/>
                <w:sz w:val="20"/>
                <w:szCs w:val="20"/>
              </w:rPr>
              <w:t>立项程序规范性</w:t>
            </w:r>
          </w:p>
        </w:tc>
        <w:tc>
          <w:tcPr>
            <w:tcW w:w="775" w:type="dxa"/>
            <w:shd w:val="clear" w:color="auto" w:fill="auto"/>
            <w:noWrap/>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3305" w:type="dxa"/>
            <w:shd w:val="clear" w:color="auto" w:fill="auto"/>
            <w:vAlign w:val="center"/>
          </w:tcPr>
          <w:p>
            <w:pPr>
              <w:spacing w:line="240" w:lineRule="auto"/>
              <w:rPr>
                <w:color w:val="000000"/>
                <w:sz w:val="20"/>
                <w:szCs w:val="20"/>
              </w:rPr>
            </w:pPr>
            <w:r>
              <w:rPr>
                <w:rFonts w:hint="eastAsia"/>
                <w:color w:val="000000"/>
                <w:sz w:val="20"/>
                <w:szCs w:val="20"/>
              </w:rPr>
              <w:t>项目申请、设立过程是否符合相关要求，用以反映和考核项目的规范情况。</w:t>
            </w:r>
          </w:p>
        </w:tc>
        <w:tc>
          <w:tcPr>
            <w:tcW w:w="4111" w:type="dxa"/>
            <w:shd w:val="clear" w:color="auto" w:fill="auto"/>
            <w:vAlign w:val="center"/>
          </w:tcPr>
          <w:p>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hint="eastAsia" w:cs="Times New Roman"/>
                <w:color w:val="000000"/>
                <w:sz w:val="20"/>
                <w:szCs w:val="20"/>
              </w:rPr>
              <w:t>.项目按照规定的程序申请设立（</w:t>
            </w:r>
            <w:r>
              <w:rPr>
                <w:rFonts w:ascii="Times New Roman" w:hAnsi="Times New Roman" w:cs="Times New Roman"/>
                <w:color w:val="000000"/>
                <w:sz w:val="20"/>
                <w:szCs w:val="20"/>
              </w:rPr>
              <w:t>2</w:t>
            </w:r>
            <w:r>
              <w:rPr>
                <w:rFonts w:hint="eastAsia" w:cs="Times New Roman"/>
                <w:color w:val="000000"/>
                <w:sz w:val="20"/>
                <w:szCs w:val="20"/>
              </w:rPr>
              <w:t>分）；</w:t>
            </w:r>
            <w:r>
              <w:rPr>
                <w:rFonts w:ascii="Times New Roman" w:hAnsi="Times New Roman" w:cs="Times New Roman"/>
                <w:color w:val="000000"/>
                <w:sz w:val="20"/>
                <w:szCs w:val="20"/>
              </w:rPr>
              <w:t>2</w:t>
            </w:r>
            <w:r>
              <w:rPr>
                <w:rFonts w:hint="eastAsia" w:cs="Times New Roman"/>
                <w:color w:val="000000"/>
                <w:sz w:val="20"/>
                <w:szCs w:val="20"/>
              </w:rPr>
              <w:t>.审批文件、材料符合相关要求（</w:t>
            </w:r>
            <w:r>
              <w:rPr>
                <w:rFonts w:ascii="Times New Roman" w:hAnsi="Times New Roman" w:cs="Times New Roman"/>
                <w:color w:val="000000"/>
                <w:sz w:val="20"/>
                <w:szCs w:val="20"/>
              </w:rPr>
              <w:t>1</w:t>
            </w:r>
            <w:r>
              <w:rPr>
                <w:rFonts w:hint="eastAsia" w:cs="Times New Roman"/>
                <w:color w:val="000000"/>
                <w:sz w:val="20"/>
                <w:szCs w:val="20"/>
              </w:rPr>
              <w:t>分）；</w:t>
            </w:r>
            <w:r>
              <w:rPr>
                <w:rFonts w:ascii="Times New Roman" w:hAnsi="Times New Roman" w:cs="Times New Roman"/>
                <w:color w:val="000000"/>
                <w:sz w:val="20"/>
                <w:szCs w:val="20"/>
              </w:rPr>
              <w:t>3</w:t>
            </w:r>
            <w:r>
              <w:rPr>
                <w:rFonts w:hint="eastAsia" w:cs="Times New Roman"/>
                <w:color w:val="000000"/>
                <w:sz w:val="20"/>
                <w:szCs w:val="20"/>
              </w:rPr>
              <w:t>.项目实施前经过必要的可行性研究、专家论证、风险评估、绩效评估、集体决策（</w:t>
            </w:r>
            <w:r>
              <w:rPr>
                <w:rFonts w:ascii="Times New Roman" w:hAnsi="Times New Roman" w:cs="Times New Roman"/>
                <w:color w:val="000000"/>
                <w:sz w:val="20"/>
                <w:szCs w:val="20"/>
              </w:rPr>
              <w:t>1</w:t>
            </w:r>
            <w:r>
              <w:rPr>
                <w:rFonts w:hint="eastAsia" w:cs="Times New Roman"/>
                <w:color w:val="000000"/>
                <w:sz w:val="20"/>
                <w:szCs w:val="20"/>
              </w:rPr>
              <w:t>分）。</w:t>
            </w:r>
          </w:p>
        </w:tc>
        <w:tc>
          <w:tcPr>
            <w:tcW w:w="716" w:type="dxa"/>
            <w:shd w:val="clear" w:color="auto" w:fill="auto"/>
            <w:noWrap/>
            <w:vAlign w:val="center"/>
          </w:tcPr>
          <w:p>
            <w:pPr>
              <w:spacing w:line="240" w:lineRule="auto"/>
              <w:jc w:val="center"/>
              <w:rPr>
                <w:color w:val="000000"/>
                <w:sz w:val="20"/>
                <w:szCs w:val="20"/>
              </w:rPr>
            </w:pPr>
            <w:r>
              <w:rPr>
                <w:rFonts w:hint="eastAsia"/>
                <w:color w:val="000000"/>
                <w:sz w:val="20"/>
                <w:szCs w:val="20"/>
              </w:rPr>
              <w:t>4</w:t>
            </w:r>
          </w:p>
        </w:tc>
        <w:tc>
          <w:tcPr>
            <w:tcW w:w="1137" w:type="dxa"/>
            <w:shd w:val="clear" w:color="auto" w:fill="auto"/>
            <w:vAlign w:val="center"/>
          </w:tcPr>
          <w:p>
            <w:pPr>
              <w:spacing w:line="240" w:lineRule="auto"/>
              <w:jc w:val="center"/>
              <w:rPr>
                <w:color w:val="000000"/>
                <w:sz w:val="20"/>
                <w:szCs w:val="20"/>
              </w:rPr>
            </w:pPr>
            <w:r>
              <w:rPr>
                <w:rFonts w:hint="eastAsia"/>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7" w:type="dxa"/>
            <w:vMerge w:val="continue"/>
            <w:vAlign w:val="center"/>
          </w:tcPr>
          <w:p>
            <w:pPr>
              <w:spacing w:line="240" w:lineRule="auto"/>
              <w:jc w:val="left"/>
              <w:rPr>
                <w:rFonts w:ascii="Times New Roman" w:hAnsi="Times New Roman" w:cs="Times New Roman"/>
                <w:color w:val="000000"/>
                <w:sz w:val="20"/>
                <w:szCs w:val="20"/>
              </w:rPr>
            </w:pPr>
          </w:p>
        </w:tc>
        <w:tc>
          <w:tcPr>
            <w:tcW w:w="688" w:type="dxa"/>
            <w:vMerge w:val="continue"/>
            <w:vAlign w:val="center"/>
          </w:tcPr>
          <w:p>
            <w:pPr>
              <w:spacing w:line="240" w:lineRule="auto"/>
              <w:jc w:val="left"/>
              <w:rPr>
                <w:rFonts w:ascii="Times New Roman" w:hAnsi="Times New Roman" w:cs="Times New Roman"/>
                <w:color w:val="000000"/>
                <w:sz w:val="20"/>
                <w:szCs w:val="20"/>
              </w:rPr>
            </w:pPr>
          </w:p>
        </w:tc>
        <w:tc>
          <w:tcPr>
            <w:tcW w:w="780" w:type="dxa"/>
            <w:vMerge w:val="restart"/>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A2</w:t>
            </w:r>
            <w:r>
              <w:rPr>
                <w:rFonts w:hint="eastAsia" w:cs="Times New Roman"/>
                <w:color w:val="000000"/>
                <w:sz w:val="20"/>
                <w:szCs w:val="20"/>
              </w:rPr>
              <w:t>绩效目标</w:t>
            </w:r>
          </w:p>
        </w:tc>
        <w:tc>
          <w:tcPr>
            <w:tcW w:w="757" w:type="dxa"/>
            <w:vMerge w:val="restart"/>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136" w:type="dxa"/>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A21</w:t>
            </w:r>
            <w:r>
              <w:rPr>
                <w:rFonts w:hint="eastAsia" w:cs="Times New Roman"/>
                <w:color w:val="000000"/>
                <w:sz w:val="20"/>
                <w:szCs w:val="20"/>
              </w:rPr>
              <w:t>绩效目标合理性</w:t>
            </w:r>
          </w:p>
        </w:tc>
        <w:tc>
          <w:tcPr>
            <w:tcW w:w="775" w:type="dxa"/>
            <w:shd w:val="clear" w:color="auto" w:fill="auto"/>
            <w:noWrap/>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3305" w:type="dxa"/>
            <w:shd w:val="clear" w:color="auto" w:fill="auto"/>
            <w:vAlign w:val="center"/>
          </w:tcPr>
          <w:p>
            <w:pPr>
              <w:spacing w:line="240" w:lineRule="auto"/>
              <w:rPr>
                <w:color w:val="000000"/>
                <w:sz w:val="20"/>
                <w:szCs w:val="20"/>
              </w:rPr>
            </w:pPr>
            <w:r>
              <w:rPr>
                <w:rFonts w:hint="eastAsia"/>
                <w:color w:val="000000"/>
                <w:sz w:val="20"/>
                <w:szCs w:val="20"/>
              </w:rPr>
              <w:t>项目所设定的绩效目标是否依据充分，是否符合客观实际，用以反映和考核项目绩效目标与项目实施的相符情况。</w:t>
            </w:r>
          </w:p>
        </w:tc>
        <w:tc>
          <w:tcPr>
            <w:tcW w:w="4111" w:type="dxa"/>
            <w:shd w:val="clear" w:color="auto" w:fill="auto"/>
            <w:vAlign w:val="center"/>
          </w:tcPr>
          <w:p>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hint="eastAsia" w:cs="Times New Roman"/>
                <w:color w:val="000000"/>
                <w:sz w:val="20"/>
                <w:szCs w:val="20"/>
              </w:rPr>
              <w:t>.项目实施单位按照文件进行申报，设定的目标切合实际，规范合理、利于衡量（</w:t>
            </w:r>
            <w:r>
              <w:rPr>
                <w:rFonts w:ascii="Times New Roman" w:hAnsi="Times New Roman" w:cs="Times New Roman"/>
                <w:color w:val="000000"/>
                <w:sz w:val="20"/>
                <w:szCs w:val="20"/>
              </w:rPr>
              <w:t>1</w:t>
            </w:r>
            <w:r>
              <w:rPr>
                <w:rFonts w:hint="eastAsia" w:cs="Times New Roman"/>
                <w:color w:val="000000"/>
                <w:sz w:val="20"/>
                <w:szCs w:val="20"/>
              </w:rPr>
              <w:t>分）；</w:t>
            </w:r>
            <w:r>
              <w:rPr>
                <w:rFonts w:ascii="Times New Roman" w:hAnsi="Times New Roman" w:cs="Times New Roman"/>
                <w:color w:val="000000"/>
                <w:sz w:val="20"/>
                <w:szCs w:val="20"/>
              </w:rPr>
              <w:t>2</w:t>
            </w:r>
            <w:r>
              <w:rPr>
                <w:rFonts w:hint="eastAsia" w:cs="Times New Roman"/>
                <w:color w:val="000000"/>
                <w:sz w:val="20"/>
                <w:szCs w:val="20"/>
              </w:rPr>
              <w:t>.与预算确定的项目投资额或资金量相匹配（</w:t>
            </w:r>
            <w:r>
              <w:rPr>
                <w:rFonts w:ascii="Times New Roman" w:hAnsi="Times New Roman" w:cs="Times New Roman"/>
                <w:color w:val="000000"/>
                <w:sz w:val="20"/>
                <w:szCs w:val="20"/>
              </w:rPr>
              <w:t>1</w:t>
            </w:r>
            <w:r>
              <w:rPr>
                <w:rFonts w:hint="eastAsia" w:cs="Times New Roman"/>
                <w:color w:val="000000"/>
                <w:sz w:val="20"/>
                <w:szCs w:val="20"/>
              </w:rPr>
              <w:t>分）。</w:t>
            </w:r>
          </w:p>
        </w:tc>
        <w:tc>
          <w:tcPr>
            <w:tcW w:w="716" w:type="dxa"/>
            <w:shd w:val="clear" w:color="auto" w:fill="auto"/>
            <w:noWrap/>
            <w:vAlign w:val="center"/>
          </w:tcPr>
          <w:p>
            <w:pPr>
              <w:spacing w:line="240" w:lineRule="auto"/>
              <w:jc w:val="center"/>
              <w:rPr>
                <w:rFonts w:hint="eastAsia" w:eastAsia="宋体"/>
                <w:color w:val="000000"/>
                <w:sz w:val="20"/>
                <w:szCs w:val="20"/>
                <w:lang w:eastAsia="zh-CN"/>
              </w:rPr>
            </w:pPr>
            <w:r>
              <w:rPr>
                <w:rFonts w:hint="eastAsia"/>
                <w:color w:val="000000"/>
                <w:sz w:val="20"/>
                <w:szCs w:val="20"/>
                <w:lang w:val="en-US" w:eastAsia="zh-CN"/>
              </w:rPr>
              <w:t>2</w:t>
            </w:r>
          </w:p>
        </w:tc>
        <w:tc>
          <w:tcPr>
            <w:tcW w:w="1137" w:type="dxa"/>
            <w:shd w:val="clear" w:color="auto" w:fill="auto"/>
            <w:vAlign w:val="center"/>
          </w:tcPr>
          <w:p>
            <w:pPr>
              <w:spacing w:line="240" w:lineRule="auto"/>
              <w:jc w:val="center"/>
              <w:rPr>
                <w:color w:val="000000"/>
                <w:sz w:val="20"/>
                <w:szCs w:val="20"/>
              </w:rPr>
            </w:pPr>
            <w:r>
              <w:rPr>
                <w:rFonts w:hint="eastAsia"/>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7" w:type="dxa"/>
            <w:vMerge w:val="continue"/>
            <w:vAlign w:val="center"/>
          </w:tcPr>
          <w:p>
            <w:pPr>
              <w:spacing w:line="240" w:lineRule="auto"/>
              <w:jc w:val="left"/>
              <w:rPr>
                <w:rFonts w:ascii="Times New Roman" w:hAnsi="Times New Roman" w:cs="Times New Roman"/>
                <w:color w:val="000000"/>
                <w:sz w:val="20"/>
                <w:szCs w:val="20"/>
              </w:rPr>
            </w:pPr>
          </w:p>
        </w:tc>
        <w:tc>
          <w:tcPr>
            <w:tcW w:w="688" w:type="dxa"/>
            <w:vMerge w:val="continue"/>
            <w:vAlign w:val="center"/>
          </w:tcPr>
          <w:p>
            <w:pPr>
              <w:spacing w:line="240" w:lineRule="auto"/>
              <w:jc w:val="left"/>
              <w:rPr>
                <w:rFonts w:ascii="Times New Roman" w:hAnsi="Times New Roman" w:cs="Times New Roman"/>
                <w:color w:val="000000"/>
                <w:sz w:val="20"/>
                <w:szCs w:val="20"/>
              </w:rPr>
            </w:pPr>
          </w:p>
        </w:tc>
        <w:tc>
          <w:tcPr>
            <w:tcW w:w="780" w:type="dxa"/>
            <w:vMerge w:val="continue"/>
            <w:vAlign w:val="center"/>
          </w:tcPr>
          <w:p>
            <w:pPr>
              <w:spacing w:line="240" w:lineRule="auto"/>
              <w:jc w:val="left"/>
              <w:rPr>
                <w:rFonts w:ascii="Times New Roman" w:hAnsi="Times New Roman" w:cs="Times New Roman"/>
                <w:color w:val="000000"/>
                <w:sz w:val="20"/>
                <w:szCs w:val="20"/>
              </w:rPr>
            </w:pPr>
          </w:p>
        </w:tc>
        <w:tc>
          <w:tcPr>
            <w:tcW w:w="757" w:type="dxa"/>
            <w:vMerge w:val="continue"/>
            <w:vAlign w:val="center"/>
          </w:tcPr>
          <w:p>
            <w:pPr>
              <w:spacing w:line="240" w:lineRule="auto"/>
              <w:jc w:val="left"/>
              <w:rPr>
                <w:rFonts w:ascii="Times New Roman" w:hAnsi="Times New Roman" w:cs="Times New Roman"/>
                <w:color w:val="000000"/>
                <w:sz w:val="20"/>
                <w:szCs w:val="20"/>
              </w:rPr>
            </w:pPr>
          </w:p>
        </w:tc>
        <w:tc>
          <w:tcPr>
            <w:tcW w:w="1136" w:type="dxa"/>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A22</w:t>
            </w:r>
            <w:r>
              <w:rPr>
                <w:rFonts w:hint="eastAsia" w:cs="Times New Roman"/>
                <w:color w:val="000000"/>
                <w:sz w:val="20"/>
                <w:szCs w:val="20"/>
              </w:rPr>
              <w:t>绩效指标明确性</w:t>
            </w:r>
          </w:p>
        </w:tc>
        <w:tc>
          <w:tcPr>
            <w:tcW w:w="775" w:type="dxa"/>
            <w:shd w:val="clear" w:color="auto" w:fill="auto"/>
            <w:noWrap/>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3305" w:type="dxa"/>
            <w:shd w:val="clear" w:color="auto" w:fill="auto"/>
            <w:vAlign w:val="center"/>
          </w:tcPr>
          <w:p>
            <w:pPr>
              <w:spacing w:line="240" w:lineRule="auto"/>
              <w:rPr>
                <w:color w:val="000000"/>
                <w:sz w:val="20"/>
                <w:szCs w:val="20"/>
              </w:rPr>
            </w:pPr>
            <w:r>
              <w:rPr>
                <w:rFonts w:hint="eastAsia"/>
                <w:color w:val="000000"/>
                <w:sz w:val="20"/>
                <w:szCs w:val="20"/>
              </w:rPr>
              <w:t>依据绩效目标设定的绩效指标是否清晰、细化、可衡量等，用以反映和考核项目绩效目标的明细化情况。</w:t>
            </w:r>
          </w:p>
        </w:tc>
        <w:tc>
          <w:tcPr>
            <w:tcW w:w="4111" w:type="dxa"/>
            <w:shd w:val="clear" w:color="auto" w:fill="auto"/>
            <w:vAlign w:val="center"/>
          </w:tcPr>
          <w:p>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hint="eastAsia" w:cs="Times New Roman"/>
                <w:color w:val="000000"/>
                <w:sz w:val="20"/>
                <w:szCs w:val="20"/>
              </w:rPr>
              <w:t>.实施单位设定了明确的绩效指标（</w:t>
            </w:r>
            <w:r>
              <w:rPr>
                <w:rFonts w:ascii="Times New Roman" w:hAnsi="Times New Roman" w:cs="Times New Roman"/>
                <w:color w:val="000000"/>
                <w:sz w:val="20"/>
                <w:szCs w:val="20"/>
              </w:rPr>
              <w:t>0</w:t>
            </w:r>
            <w:r>
              <w:rPr>
                <w:rFonts w:hint="eastAsia" w:cs="Times New Roman"/>
                <w:color w:val="000000"/>
                <w:sz w:val="20"/>
                <w:szCs w:val="20"/>
              </w:rPr>
              <w:t>.</w:t>
            </w:r>
            <w:r>
              <w:rPr>
                <w:rFonts w:ascii="Times New Roman" w:hAnsi="Times New Roman" w:cs="Times New Roman"/>
                <w:color w:val="000000"/>
                <w:sz w:val="20"/>
                <w:szCs w:val="20"/>
              </w:rPr>
              <w:t>5</w:t>
            </w:r>
            <w:r>
              <w:rPr>
                <w:rFonts w:hint="eastAsia" w:cs="Times New Roman"/>
                <w:color w:val="000000"/>
                <w:sz w:val="20"/>
                <w:szCs w:val="20"/>
              </w:rPr>
              <w:t>分）；</w:t>
            </w:r>
            <w:r>
              <w:rPr>
                <w:rFonts w:ascii="Times New Roman" w:hAnsi="Times New Roman" w:cs="Times New Roman"/>
                <w:color w:val="000000"/>
                <w:sz w:val="20"/>
                <w:szCs w:val="20"/>
              </w:rPr>
              <w:t>2</w:t>
            </w:r>
            <w:r>
              <w:rPr>
                <w:rFonts w:hint="eastAsia" w:cs="Times New Roman"/>
                <w:color w:val="000000"/>
                <w:sz w:val="20"/>
                <w:szCs w:val="20"/>
              </w:rPr>
              <w:t>.实施单位对绩效指标的时间点、计划任务、工作量、工作内容进行了细化和量化，通过清晰、可衡量的指标值予以体现（</w:t>
            </w:r>
            <w:r>
              <w:rPr>
                <w:rFonts w:ascii="Times New Roman" w:hAnsi="Times New Roman" w:cs="Times New Roman"/>
                <w:color w:val="000000"/>
                <w:sz w:val="20"/>
                <w:szCs w:val="20"/>
              </w:rPr>
              <w:t>1</w:t>
            </w:r>
            <w:r>
              <w:rPr>
                <w:rFonts w:hint="eastAsia" w:cs="Times New Roman"/>
                <w:color w:val="000000"/>
                <w:sz w:val="20"/>
                <w:szCs w:val="20"/>
              </w:rPr>
              <w:t>分）；</w:t>
            </w:r>
            <w:r>
              <w:rPr>
                <w:rFonts w:ascii="Times New Roman" w:hAnsi="Times New Roman" w:cs="Times New Roman"/>
                <w:color w:val="000000"/>
                <w:sz w:val="20"/>
                <w:szCs w:val="20"/>
              </w:rPr>
              <w:t>3</w:t>
            </w:r>
            <w:r>
              <w:rPr>
                <w:rFonts w:hint="eastAsia" w:cs="Times New Roman"/>
                <w:color w:val="000000"/>
                <w:sz w:val="20"/>
                <w:szCs w:val="20"/>
              </w:rPr>
              <w:t>.与项目目标任务数或计划数相对应（</w:t>
            </w:r>
            <w:r>
              <w:rPr>
                <w:rFonts w:ascii="Times New Roman" w:hAnsi="Times New Roman" w:cs="Times New Roman"/>
                <w:color w:val="000000"/>
                <w:sz w:val="20"/>
                <w:szCs w:val="20"/>
              </w:rPr>
              <w:t>0</w:t>
            </w:r>
            <w:r>
              <w:rPr>
                <w:rFonts w:hint="eastAsia" w:cs="Times New Roman"/>
                <w:color w:val="000000"/>
                <w:sz w:val="20"/>
                <w:szCs w:val="20"/>
              </w:rPr>
              <w:t>.</w:t>
            </w:r>
            <w:r>
              <w:rPr>
                <w:rFonts w:ascii="Times New Roman" w:hAnsi="Times New Roman" w:cs="Times New Roman"/>
                <w:color w:val="000000"/>
                <w:sz w:val="20"/>
                <w:szCs w:val="20"/>
              </w:rPr>
              <w:t>5</w:t>
            </w:r>
            <w:r>
              <w:rPr>
                <w:rFonts w:hint="eastAsia" w:cs="Times New Roman"/>
                <w:color w:val="000000"/>
                <w:sz w:val="20"/>
                <w:szCs w:val="20"/>
              </w:rPr>
              <w:t>分）。</w:t>
            </w:r>
          </w:p>
        </w:tc>
        <w:tc>
          <w:tcPr>
            <w:tcW w:w="716" w:type="dxa"/>
            <w:shd w:val="clear" w:color="auto" w:fill="auto"/>
            <w:noWrap/>
            <w:vAlign w:val="center"/>
          </w:tcPr>
          <w:p>
            <w:pPr>
              <w:spacing w:line="240" w:lineRule="auto"/>
              <w:jc w:val="center"/>
              <w:rPr>
                <w:rFonts w:hint="eastAsia" w:eastAsia="宋体"/>
                <w:color w:val="000000"/>
                <w:sz w:val="20"/>
                <w:szCs w:val="20"/>
                <w:lang w:eastAsia="zh-CN"/>
              </w:rPr>
            </w:pPr>
            <w:r>
              <w:rPr>
                <w:rFonts w:hint="eastAsia"/>
                <w:color w:val="000000"/>
                <w:sz w:val="20"/>
                <w:szCs w:val="20"/>
                <w:lang w:val="en-US" w:eastAsia="zh-CN"/>
              </w:rPr>
              <w:t>2</w:t>
            </w:r>
          </w:p>
        </w:tc>
        <w:tc>
          <w:tcPr>
            <w:tcW w:w="1137" w:type="dxa"/>
            <w:shd w:val="clear" w:color="auto" w:fill="auto"/>
            <w:vAlign w:val="center"/>
          </w:tcPr>
          <w:p>
            <w:pPr>
              <w:spacing w:line="240" w:lineRule="auto"/>
              <w:jc w:val="center"/>
              <w:rPr>
                <w:color w:val="000000"/>
                <w:sz w:val="20"/>
                <w:szCs w:val="20"/>
              </w:rPr>
            </w:pPr>
            <w:r>
              <w:rPr>
                <w:rFonts w:hint="eastAsia"/>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7" w:type="dxa"/>
            <w:vMerge w:val="continue"/>
            <w:vAlign w:val="center"/>
          </w:tcPr>
          <w:p>
            <w:pPr>
              <w:spacing w:line="240" w:lineRule="auto"/>
              <w:jc w:val="left"/>
              <w:rPr>
                <w:rFonts w:ascii="Times New Roman" w:hAnsi="Times New Roman" w:cs="Times New Roman"/>
                <w:color w:val="000000"/>
                <w:sz w:val="20"/>
                <w:szCs w:val="20"/>
              </w:rPr>
            </w:pPr>
          </w:p>
        </w:tc>
        <w:tc>
          <w:tcPr>
            <w:tcW w:w="688" w:type="dxa"/>
            <w:vMerge w:val="continue"/>
            <w:vAlign w:val="center"/>
          </w:tcPr>
          <w:p>
            <w:pPr>
              <w:spacing w:line="240" w:lineRule="auto"/>
              <w:jc w:val="left"/>
              <w:rPr>
                <w:rFonts w:ascii="Times New Roman" w:hAnsi="Times New Roman" w:cs="Times New Roman"/>
                <w:color w:val="000000"/>
                <w:sz w:val="20"/>
                <w:szCs w:val="20"/>
              </w:rPr>
            </w:pPr>
          </w:p>
        </w:tc>
        <w:tc>
          <w:tcPr>
            <w:tcW w:w="780" w:type="dxa"/>
            <w:vMerge w:val="restart"/>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A3</w:t>
            </w:r>
            <w:r>
              <w:rPr>
                <w:rFonts w:hint="eastAsia" w:cs="Times New Roman"/>
                <w:color w:val="000000"/>
                <w:sz w:val="20"/>
                <w:szCs w:val="20"/>
              </w:rPr>
              <w:t>资金投入</w:t>
            </w:r>
          </w:p>
        </w:tc>
        <w:tc>
          <w:tcPr>
            <w:tcW w:w="757" w:type="dxa"/>
            <w:vMerge w:val="restart"/>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136" w:type="dxa"/>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A31</w:t>
            </w:r>
            <w:r>
              <w:rPr>
                <w:rFonts w:hint="eastAsia" w:cs="Times New Roman"/>
                <w:color w:val="000000"/>
                <w:sz w:val="20"/>
                <w:szCs w:val="20"/>
              </w:rPr>
              <w:t>预算编制科学性</w:t>
            </w:r>
          </w:p>
        </w:tc>
        <w:tc>
          <w:tcPr>
            <w:tcW w:w="775" w:type="dxa"/>
            <w:shd w:val="clear" w:color="auto" w:fill="auto"/>
            <w:noWrap/>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3305" w:type="dxa"/>
            <w:shd w:val="clear" w:color="auto" w:fill="auto"/>
            <w:vAlign w:val="center"/>
          </w:tcPr>
          <w:p>
            <w:pPr>
              <w:spacing w:line="240" w:lineRule="auto"/>
              <w:rPr>
                <w:color w:val="000000"/>
                <w:sz w:val="20"/>
                <w:szCs w:val="20"/>
              </w:rPr>
            </w:pPr>
            <w:r>
              <w:rPr>
                <w:rFonts w:hint="eastAsia"/>
                <w:color w:val="000000"/>
                <w:sz w:val="20"/>
                <w:szCs w:val="20"/>
              </w:rPr>
              <w:t>项目预算编制是否经过科学论证、有明确的标准，资金额度与年度目标是否相适应，用以反映和考核项目预算编制的科学性、合理性情况。</w:t>
            </w:r>
          </w:p>
        </w:tc>
        <w:tc>
          <w:tcPr>
            <w:tcW w:w="4111" w:type="dxa"/>
            <w:shd w:val="clear" w:color="auto" w:fill="auto"/>
            <w:vAlign w:val="center"/>
          </w:tcPr>
          <w:p>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hint="eastAsia" w:cs="Times New Roman"/>
                <w:color w:val="000000"/>
                <w:sz w:val="20"/>
                <w:szCs w:val="20"/>
              </w:rPr>
              <w:t>.预算编制经过第三方机构评估、论证（</w:t>
            </w:r>
            <w:r>
              <w:rPr>
                <w:rFonts w:ascii="Times New Roman" w:hAnsi="Times New Roman" w:cs="Times New Roman"/>
                <w:color w:val="000000"/>
                <w:sz w:val="20"/>
                <w:szCs w:val="20"/>
              </w:rPr>
              <w:t>0</w:t>
            </w:r>
            <w:r>
              <w:rPr>
                <w:rFonts w:hint="eastAsia" w:cs="Times New Roman"/>
                <w:color w:val="000000"/>
                <w:sz w:val="20"/>
                <w:szCs w:val="20"/>
              </w:rPr>
              <w:t>.</w:t>
            </w:r>
            <w:r>
              <w:rPr>
                <w:rFonts w:ascii="Times New Roman" w:hAnsi="Times New Roman" w:cs="Times New Roman"/>
                <w:color w:val="000000"/>
                <w:sz w:val="20"/>
                <w:szCs w:val="20"/>
              </w:rPr>
              <w:t>5</w:t>
            </w:r>
            <w:r>
              <w:rPr>
                <w:rFonts w:hint="eastAsia" w:cs="Times New Roman"/>
                <w:color w:val="000000"/>
                <w:sz w:val="20"/>
                <w:szCs w:val="20"/>
              </w:rPr>
              <w:t>分）；</w:t>
            </w:r>
            <w:r>
              <w:rPr>
                <w:rFonts w:ascii="Times New Roman" w:hAnsi="Times New Roman" w:cs="Times New Roman"/>
                <w:color w:val="000000"/>
                <w:sz w:val="20"/>
                <w:szCs w:val="20"/>
              </w:rPr>
              <w:t>2</w:t>
            </w:r>
            <w:r>
              <w:rPr>
                <w:rFonts w:hint="eastAsia" w:cs="Times New Roman"/>
                <w:color w:val="000000"/>
                <w:sz w:val="20"/>
                <w:szCs w:val="20"/>
              </w:rPr>
              <w:t>.预算内容与项目内容匹配（</w:t>
            </w:r>
            <w:r>
              <w:rPr>
                <w:rFonts w:ascii="Times New Roman" w:hAnsi="Times New Roman" w:cs="Times New Roman"/>
                <w:color w:val="000000"/>
                <w:sz w:val="20"/>
                <w:szCs w:val="20"/>
              </w:rPr>
              <w:t>1</w:t>
            </w:r>
            <w:r>
              <w:rPr>
                <w:rFonts w:hint="eastAsia" w:cs="Times New Roman"/>
                <w:color w:val="000000"/>
                <w:sz w:val="20"/>
                <w:szCs w:val="20"/>
              </w:rPr>
              <w:t>分）；</w:t>
            </w:r>
            <w:r>
              <w:rPr>
                <w:rFonts w:ascii="Times New Roman" w:hAnsi="Times New Roman" w:cs="Times New Roman"/>
                <w:color w:val="000000"/>
                <w:sz w:val="20"/>
                <w:szCs w:val="20"/>
              </w:rPr>
              <w:t>3</w:t>
            </w:r>
            <w:r>
              <w:rPr>
                <w:rFonts w:hint="eastAsia" w:cs="Times New Roman"/>
                <w:color w:val="000000"/>
                <w:sz w:val="20"/>
                <w:szCs w:val="20"/>
              </w:rPr>
              <w:t>.预算额度测算依据充分，且按照标准编制（</w:t>
            </w:r>
            <w:r>
              <w:rPr>
                <w:rFonts w:ascii="Times New Roman" w:hAnsi="Times New Roman" w:cs="Times New Roman"/>
                <w:color w:val="000000"/>
                <w:sz w:val="20"/>
                <w:szCs w:val="20"/>
              </w:rPr>
              <w:t>0</w:t>
            </w:r>
            <w:r>
              <w:rPr>
                <w:rFonts w:hint="eastAsia" w:cs="Times New Roman"/>
                <w:color w:val="000000"/>
                <w:sz w:val="20"/>
                <w:szCs w:val="20"/>
              </w:rPr>
              <w:t>.</w:t>
            </w:r>
            <w:r>
              <w:rPr>
                <w:rFonts w:ascii="Times New Roman" w:hAnsi="Times New Roman" w:cs="Times New Roman"/>
                <w:color w:val="000000"/>
                <w:sz w:val="20"/>
                <w:szCs w:val="20"/>
              </w:rPr>
              <w:t>5</w:t>
            </w:r>
            <w:r>
              <w:rPr>
                <w:rFonts w:hint="eastAsia" w:cs="Times New Roman"/>
                <w:color w:val="000000"/>
                <w:sz w:val="20"/>
                <w:szCs w:val="20"/>
              </w:rPr>
              <w:t>分）；</w:t>
            </w:r>
            <w:r>
              <w:rPr>
                <w:rFonts w:ascii="Times New Roman" w:hAnsi="Times New Roman" w:cs="Times New Roman"/>
                <w:color w:val="000000"/>
                <w:sz w:val="20"/>
                <w:szCs w:val="20"/>
              </w:rPr>
              <w:t>4</w:t>
            </w:r>
            <w:r>
              <w:rPr>
                <w:rFonts w:hint="eastAsia" w:cs="Times New Roman"/>
                <w:color w:val="000000"/>
                <w:sz w:val="20"/>
                <w:szCs w:val="20"/>
              </w:rPr>
              <w:t>.预算确定的项目投资额或资金量与工作任务相匹配（</w:t>
            </w:r>
            <w:r>
              <w:rPr>
                <w:rFonts w:ascii="Times New Roman" w:hAnsi="Times New Roman" w:cs="Times New Roman"/>
                <w:color w:val="000000"/>
                <w:sz w:val="20"/>
                <w:szCs w:val="20"/>
              </w:rPr>
              <w:t>1</w:t>
            </w:r>
            <w:r>
              <w:rPr>
                <w:rFonts w:hint="eastAsia" w:cs="Times New Roman"/>
                <w:color w:val="000000"/>
                <w:sz w:val="20"/>
                <w:szCs w:val="20"/>
              </w:rPr>
              <w:t>分）。</w:t>
            </w:r>
          </w:p>
        </w:tc>
        <w:tc>
          <w:tcPr>
            <w:tcW w:w="716" w:type="dxa"/>
            <w:shd w:val="clear" w:color="auto" w:fill="auto"/>
            <w:noWrap/>
            <w:vAlign w:val="center"/>
          </w:tcPr>
          <w:p>
            <w:pPr>
              <w:spacing w:line="240" w:lineRule="auto"/>
              <w:jc w:val="center"/>
              <w:rPr>
                <w:color w:val="000000"/>
                <w:sz w:val="20"/>
                <w:szCs w:val="20"/>
              </w:rPr>
            </w:pPr>
            <w:r>
              <w:rPr>
                <w:rFonts w:hint="eastAsia"/>
                <w:color w:val="000000"/>
                <w:sz w:val="20"/>
                <w:szCs w:val="20"/>
              </w:rPr>
              <w:t>3</w:t>
            </w:r>
          </w:p>
        </w:tc>
        <w:tc>
          <w:tcPr>
            <w:tcW w:w="1137" w:type="dxa"/>
            <w:shd w:val="clear" w:color="auto" w:fill="auto"/>
            <w:vAlign w:val="center"/>
          </w:tcPr>
          <w:p>
            <w:pPr>
              <w:spacing w:line="240" w:lineRule="auto"/>
              <w:jc w:val="center"/>
              <w:rPr>
                <w:color w:val="000000"/>
                <w:sz w:val="20"/>
                <w:szCs w:val="20"/>
              </w:rPr>
            </w:pPr>
            <w:r>
              <w:rPr>
                <w:rFonts w:hint="eastAsia"/>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7" w:type="dxa"/>
            <w:vMerge w:val="continue"/>
            <w:vAlign w:val="center"/>
          </w:tcPr>
          <w:p>
            <w:pPr>
              <w:spacing w:line="240" w:lineRule="auto"/>
              <w:jc w:val="left"/>
              <w:rPr>
                <w:rFonts w:ascii="Times New Roman" w:hAnsi="Times New Roman" w:cs="Times New Roman"/>
                <w:color w:val="000000"/>
                <w:sz w:val="20"/>
                <w:szCs w:val="20"/>
              </w:rPr>
            </w:pPr>
          </w:p>
        </w:tc>
        <w:tc>
          <w:tcPr>
            <w:tcW w:w="688" w:type="dxa"/>
            <w:vMerge w:val="continue"/>
            <w:vAlign w:val="center"/>
          </w:tcPr>
          <w:p>
            <w:pPr>
              <w:spacing w:line="240" w:lineRule="auto"/>
              <w:jc w:val="left"/>
              <w:rPr>
                <w:rFonts w:ascii="Times New Roman" w:hAnsi="Times New Roman" w:cs="Times New Roman"/>
                <w:color w:val="000000"/>
                <w:sz w:val="20"/>
                <w:szCs w:val="20"/>
              </w:rPr>
            </w:pPr>
          </w:p>
        </w:tc>
        <w:tc>
          <w:tcPr>
            <w:tcW w:w="780" w:type="dxa"/>
            <w:vMerge w:val="continue"/>
            <w:vAlign w:val="center"/>
          </w:tcPr>
          <w:p>
            <w:pPr>
              <w:spacing w:line="240" w:lineRule="auto"/>
              <w:jc w:val="left"/>
              <w:rPr>
                <w:rFonts w:ascii="Times New Roman" w:hAnsi="Times New Roman" w:cs="Times New Roman"/>
                <w:color w:val="000000"/>
                <w:sz w:val="20"/>
                <w:szCs w:val="20"/>
              </w:rPr>
            </w:pPr>
          </w:p>
        </w:tc>
        <w:tc>
          <w:tcPr>
            <w:tcW w:w="757" w:type="dxa"/>
            <w:vMerge w:val="continue"/>
            <w:vAlign w:val="center"/>
          </w:tcPr>
          <w:p>
            <w:pPr>
              <w:spacing w:line="240" w:lineRule="auto"/>
              <w:jc w:val="left"/>
              <w:rPr>
                <w:rFonts w:ascii="Times New Roman" w:hAnsi="Times New Roman" w:cs="Times New Roman"/>
                <w:color w:val="000000"/>
                <w:sz w:val="20"/>
                <w:szCs w:val="20"/>
              </w:rPr>
            </w:pPr>
          </w:p>
        </w:tc>
        <w:tc>
          <w:tcPr>
            <w:tcW w:w="1136" w:type="dxa"/>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A32</w:t>
            </w:r>
            <w:r>
              <w:rPr>
                <w:rFonts w:hint="eastAsia" w:cs="Times New Roman"/>
                <w:color w:val="000000"/>
                <w:sz w:val="20"/>
                <w:szCs w:val="20"/>
              </w:rPr>
              <w:t>资金分配合理性</w:t>
            </w:r>
          </w:p>
        </w:tc>
        <w:tc>
          <w:tcPr>
            <w:tcW w:w="775" w:type="dxa"/>
            <w:shd w:val="clear" w:color="auto" w:fill="auto"/>
            <w:noWrap/>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3305" w:type="dxa"/>
            <w:shd w:val="clear" w:color="auto" w:fill="auto"/>
            <w:vAlign w:val="center"/>
          </w:tcPr>
          <w:p>
            <w:pPr>
              <w:spacing w:line="240" w:lineRule="auto"/>
              <w:rPr>
                <w:color w:val="000000"/>
                <w:sz w:val="20"/>
                <w:szCs w:val="20"/>
              </w:rPr>
            </w:pPr>
            <w:r>
              <w:rPr>
                <w:rFonts w:hint="eastAsia"/>
                <w:color w:val="000000"/>
                <w:sz w:val="20"/>
                <w:szCs w:val="20"/>
              </w:rPr>
              <w:t>项目预算资金分配是否有测算依据，与补助单位或地方实际是否相适应，用以反映和考核项目预算资金分配的科学性、合理性情况。</w:t>
            </w:r>
          </w:p>
        </w:tc>
        <w:tc>
          <w:tcPr>
            <w:tcW w:w="4111" w:type="dxa"/>
            <w:shd w:val="clear" w:color="auto" w:fill="auto"/>
            <w:vAlign w:val="center"/>
          </w:tcPr>
          <w:p>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hint="eastAsia" w:cs="Times New Roman"/>
                <w:color w:val="000000"/>
                <w:sz w:val="20"/>
                <w:szCs w:val="20"/>
              </w:rPr>
              <w:t>.预算资金分配依据充分（</w:t>
            </w:r>
            <w:r>
              <w:rPr>
                <w:rFonts w:ascii="Times New Roman" w:hAnsi="Times New Roman" w:cs="Times New Roman"/>
                <w:color w:val="000000"/>
                <w:sz w:val="20"/>
                <w:szCs w:val="20"/>
              </w:rPr>
              <w:t>1</w:t>
            </w:r>
            <w:r>
              <w:rPr>
                <w:rFonts w:hint="eastAsia" w:cs="Times New Roman"/>
                <w:color w:val="000000"/>
                <w:sz w:val="20"/>
                <w:szCs w:val="20"/>
              </w:rPr>
              <w:t>分）；</w:t>
            </w:r>
            <w:r>
              <w:rPr>
                <w:rFonts w:ascii="Times New Roman" w:hAnsi="Times New Roman" w:cs="Times New Roman"/>
                <w:color w:val="000000"/>
                <w:sz w:val="20"/>
                <w:szCs w:val="20"/>
              </w:rPr>
              <w:t>2</w:t>
            </w:r>
            <w:r>
              <w:rPr>
                <w:rFonts w:hint="eastAsia" w:cs="Times New Roman"/>
                <w:color w:val="000000"/>
                <w:sz w:val="20"/>
                <w:szCs w:val="20"/>
              </w:rPr>
              <w:t>.资金分配额度合理，与项目单位实际相适应（</w:t>
            </w:r>
            <w:r>
              <w:rPr>
                <w:rFonts w:ascii="Times New Roman" w:hAnsi="Times New Roman" w:cs="Times New Roman"/>
                <w:color w:val="000000"/>
                <w:sz w:val="20"/>
                <w:szCs w:val="20"/>
              </w:rPr>
              <w:t>2</w:t>
            </w:r>
            <w:r>
              <w:rPr>
                <w:rFonts w:hint="eastAsia" w:cs="Times New Roman"/>
                <w:color w:val="000000"/>
                <w:sz w:val="20"/>
                <w:szCs w:val="20"/>
              </w:rPr>
              <w:t>分）。</w:t>
            </w:r>
          </w:p>
        </w:tc>
        <w:tc>
          <w:tcPr>
            <w:tcW w:w="716" w:type="dxa"/>
            <w:shd w:val="clear" w:color="auto" w:fill="auto"/>
            <w:noWrap/>
            <w:vAlign w:val="center"/>
          </w:tcPr>
          <w:p>
            <w:pPr>
              <w:spacing w:line="240" w:lineRule="auto"/>
              <w:jc w:val="center"/>
              <w:rPr>
                <w:color w:val="000000"/>
                <w:sz w:val="20"/>
                <w:szCs w:val="20"/>
              </w:rPr>
            </w:pPr>
            <w:r>
              <w:rPr>
                <w:rFonts w:hint="eastAsia"/>
                <w:color w:val="000000"/>
                <w:sz w:val="20"/>
                <w:szCs w:val="20"/>
              </w:rPr>
              <w:t>3</w:t>
            </w:r>
          </w:p>
        </w:tc>
        <w:tc>
          <w:tcPr>
            <w:tcW w:w="1137" w:type="dxa"/>
            <w:shd w:val="clear" w:color="auto" w:fill="auto"/>
            <w:vAlign w:val="center"/>
          </w:tcPr>
          <w:p>
            <w:pPr>
              <w:spacing w:line="240" w:lineRule="auto"/>
              <w:jc w:val="center"/>
              <w:rPr>
                <w:color w:val="000000"/>
                <w:sz w:val="20"/>
                <w:szCs w:val="20"/>
              </w:rPr>
            </w:pPr>
            <w:r>
              <w:rPr>
                <w:rFonts w:hint="eastAsia"/>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7" w:type="dxa"/>
            <w:vMerge w:val="restart"/>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w:t>
            </w:r>
            <w:r>
              <w:rPr>
                <w:rFonts w:hint="eastAsia" w:cs="Times New Roman"/>
                <w:color w:val="000000"/>
                <w:sz w:val="20"/>
                <w:szCs w:val="20"/>
              </w:rPr>
              <w:t>过程</w:t>
            </w:r>
          </w:p>
        </w:tc>
        <w:tc>
          <w:tcPr>
            <w:tcW w:w="688" w:type="dxa"/>
            <w:vMerge w:val="restart"/>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780" w:type="dxa"/>
            <w:vMerge w:val="restart"/>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B1</w:t>
            </w:r>
            <w:r>
              <w:rPr>
                <w:rFonts w:hint="eastAsia" w:cs="Times New Roman"/>
                <w:color w:val="000000"/>
                <w:sz w:val="20"/>
                <w:szCs w:val="20"/>
              </w:rPr>
              <w:t>资金管理</w:t>
            </w:r>
          </w:p>
        </w:tc>
        <w:tc>
          <w:tcPr>
            <w:tcW w:w="757" w:type="dxa"/>
            <w:vMerge w:val="restart"/>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136" w:type="dxa"/>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B11</w:t>
            </w:r>
            <w:r>
              <w:rPr>
                <w:rFonts w:hint="eastAsia" w:cs="Times New Roman"/>
                <w:color w:val="000000"/>
                <w:sz w:val="20"/>
                <w:szCs w:val="20"/>
              </w:rPr>
              <w:t>资金到位率</w:t>
            </w:r>
          </w:p>
        </w:tc>
        <w:tc>
          <w:tcPr>
            <w:tcW w:w="775" w:type="dxa"/>
            <w:shd w:val="clear" w:color="auto" w:fill="auto"/>
            <w:noWrap/>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3305" w:type="dxa"/>
            <w:shd w:val="clear" w:color="auto" w:fill="auto"/>
            <w:vAlign w:val="center"/>
          </w:tcPr>
          <w:p>
            <w:pPr>
              <w:spacing w:line="240" w:lineRule="auto"/>
              <w:rPr>
                <w:color w:val="000000"/>
                <w:sz w:val="20"/>
                <w:szCs w:val="20"/>
              </w:rPr>
            </w:pPr>
            <w:r>
              <w:rPr>
                <w:rFonts w:hint="eastAsia"/>
                <w:color w:val="000000"/>
                <w:sz w:val="20"/>
                <w:szCs w:val="20"/>
              </w:rPr>
              <w:t>实际到位资金与预算资金的比率，用以反映和考核资金落实情况对项目实施的总体保障程度。</w:t>
            </w:r>
          </w:p>
        </w:tc>
        <w:tc>
          <w:tcPr>
            <w:tcW w:w="4111" w:type="dxa"/>
            <w:shd w:val="clear" w:color="auto" w:fill="auto"/>
            <w:vAlign w:val="center"/>
          </w:tcPr>
          <w:p>
            <w:pPr>
              <w:spacing w:line="240" w:lineRule="auto"/>
              <w:rPr>
                <w:color w:val="000000"/>
                <w:sz w:val="20"/>
                <w:szCs w:val="20"/>
              </w:rPr>
            </w:pPr>
            <w:r>
              <w:rPr>
                <w:rFonts w:hint="eastAsia"/>
                <w:color w:val="000000"/>
                <w:sz w:val="20"/>
                <w:szCs w:val="20"/>
              </w:rPr>
              <w:t>资金到位率=（实际到位资金/预算资金）×</w:t>
            </w:r>
            <w:r>
              <w:rPr>
                <w:rFonts w:ascii="Times New Roman" w:hAnsi="Times New Roman" w:cs="Times New Roman"/>
                <w:color w:val="000000"/>
                <w:sz w:val="20"/>
                <w:szCs w:val="20"/>
              </w:rPr>
              <w:t>100</w:t>
            </w:r>
            <w:r>
              <w:rPr>
                <w:rFonts w:hint="eastAsia"/>
                <w:color w:val="000000"/>
                <w:sz w:val="20"/>
                <w:szCs w:val="20"/>
              </w:rPr>
              <w:t>%（</w:t>
            </w:r>
            <w:r>
              <w:rPr>
                <w:rFonts w:ascii="Times New Roman" w:hAnsi="Times New Roman" w:cs="Times New Roman"/>
                <w:color w:val="000000"/>
                <w:sz w:val="20"/>
                <w:szCs w:val="20"/>
              </w:rPr>
              <w:t>2</w:t>
            </w:r>
            <w:r>
              <w:rPr>
                <w:rFonts w:hint="eastAsia"/>
                <w:color w:val="000000"/>
                <w:sz w:val="20"/>
                <w:szCs w:val="20"/>
              </w:rPr>
              <w:t>分）；每低</w:t>
            </w:r>
            <w:r>
              <w:rPr>
                <w:rFonts w:ascii="Times New Roman" w:hAnsi="Times New Roman" w:cs="Times New Roman"/>
                <w:color w:val="000000"/>
                <w:sz w:val="20"/>
                <w:szCs w:val="20"/>
              </w:rPr>
              <w:t>10</w:t>
            </w:r>
            <w:r>
              <w:rPr>
                <w:rFonts w:hint="eastAsia"/>
                <w:color w:val="000000"/>
                <w:sz w:val="20"/>
                <w:szCs w:val="20"/>
              </w:rPr>
              <w:t>%，扣</w:t>
            </w:r>
            <w:r>
              <w:rPr>
                <w:rFonts w:ascii="Times New Roman" w:hAnsi="Times New Roman" w:cs="Times New Roman"/>
                <w:color w:val="000000"/>
                <w:sz w:val="20"/>
                <w:szCs w:val="20"/>
              </w:rPr>
              <w:t>0.5</w:t>
            </w:r>
            <w:r>
              <w:rPr>
                <w:rFonts w:hint="eastAsia"/>
                <w:color w:val="000000"/>
                <w:sz w:val="20"/>
                <w:szCs w:val="20"/>
              </w:rPr>
              <w:t>分；若低于</w:t>
            </w:r>
            <w:r>
              <w:rPr>
                <w:rFonts w:ascii="Times New Roman" w:hAnsi="Times New Roman" w:cs="Times New Roman"/>
                <w:color w:val="000000"/>
                <w:sz w:val="20"/>
                <w:szCs w:val="20"/>
              </w:rPr>
              <w:t>60%</w:t>
            </w:r>
            <w:r>
              <w:rPr>
                <w:rFonts w:hint="eastAsia"/>
                <w:color w:val="000000"/>
                <w:sz w:val="20"/>
                <w:szCs w:val="20"/>
              </w:rPr>
              <w:t>,扣至</w:t>
            </w:r>
            <w:r>
              <w:rPr>
                <w:rFonts w:ascii="Times New Roman" w:hAnsi="Times New Roman" w:cs="Times New Roman"/>
                <w:color w:val="000000"/>
                <w:sz w:val="20"/>
                <w:szCs w:val="20"/>
              </w:rPr>
              <w:t>0</w:t>
            </w:r>
            <w:r>
              <w:rPr>
                <w:rFonts w:hint="eastAsia"/>
                <w:color w:val="000000"/>
                <w:sz w:val="20"/>
                <w:szCs w:val="20"/>
              </w:rPr>
              <w:t>分。</w:t>
            </w:r>
          </w:p>
        </w:tc>
        <w:tc>
          <w:tcPr>
            <w:tcW w:w="716" w:type="dxa"/>
            <w:shd w:val="clear" w:color="auto" w:fill="auto"/>
            <w:noWrap/>
            <w:vAlign w:val="center"/>
          </w:tcPr>
          <w:p>
            <w:pPr>
              <w:spacing w:line="240" w:lineRule="auto"/>
              <w:jc w:val="center"/>
              <w:rPr>
                <w:color w:val="000000"/>
                <w:sz w:val="20"/>
                <w:szCs w:val="20"/>
              </w:rPr>
            </w:pPr>
            <w:r>
              <w:rPr>
                <w:rFonts w:hint="eastAsia"/>
                <w:color w:val="000000"/>
                <w:sz w:val="20"/>
                <w:szCs w:val="20"/>
              </w:rPr>
              <w:t>2</w:t>
            </w:r>
          </w:p>
        </w:tc>
        <w:tc>
          <w:tcPr>
            <w:tcW w:w="1137" w:type="dxa"/>
            <w:shd w:val="clear" w:color="auto" w:fill="auto"/>
            <w:vAlign w:val="center"/>
          </w:tcPr>
          <w:p>
            <w:pPr>
              <w:spacing w:line="240" w:lineRule="auto"/>
              <w:jc w:val="center"/>
              <w:rPr>
                <w:color w:val="000000"/>
                <w:sz w:val="20"/>
                <w:szCs w:val="20"/>
              </w:rPr>
            </w:pPr>
            <w:r>
              <w:rPr>
                <w:rFonts w:hint="eastAsia"/>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7" w:type="dxa"/>
            <w:vMerge w:val="continue"/>
            <w:vAlign w:val="center"/>
          </w:tcPr>
          <w:p>
            <w:pPr>
              <w:spacing w:line="240" w:lineRule="auto"/>
              <w:jc w:val="left"/>
              <w:rPr>
                <w:rFonts w:ascii="Times New Roman" w:hAnsi="Times New Roman" w:cs="Times New Roman"/>
                <w:color w:val="000000"/>
                <w:sz w:val="20"/>
                <w:szCs w:val="20"/>
              </w:rPr>
            </w:pPr>
          </w:p>
        </w:tc>
        <w:tc>
          <w:tcPr>
            <w:tcW w:w="688" w:type="dxa"/>
            <w:vMerge w:val="continue"/>
            <w:vAlign w:val="center"/>
          </w:tcPr>
          <w:p>
            <w:pPr>
              <w:spacing w:line="240" w:lineRule="auto"/>
              <w:jc w:val="left"/>
              <w:rPr>
                <w:rFonts w:ascii="Times New Roman" w:hAnsi="Times New Roman" w:cs="Times New Roman"/>
                <w:color w:val="000000"/>
                <w:sz w:val="20"/>
                <w:szCs w:val="20"/>
              </w:rPr>
            </w:pPr>
          </w:p>
        </w:tc>
        <w:tc>
          <w:tcPr>
            <w:tcW w:w="780" w:type="dxa"/>
            <w:vMerge w:val="continue"/>
            <w:vAlign w:val="center"/>
          </w:tcPr>
          <w:p>
            <w:pPr>
              <w:spacing w:line="240" w:lineRule="auto"/>
              <w:jc w:val="left"/>
              <w:rPr>
                <w:rFonts w:ascii="Times New Roman" w:hAnsi="Times New Roman" w:cs="Times New Roman"/>
                <w:color w:val="000000"/>
                <w:sz w:val="20"/>
                <w:szCs w:val="20"/>
              </w:rPr>
            </w:pPr>
          </w:p>
        </w:tc>
        <w:tc>
          <w:tcPr>
            <w:tcW w:w="757" w:type="dxa"/>
            <w:vMerge w:val="continue"/>
            <w:vAlign w:val="center"/>
          </w:tcPr>
          <w:p>
            <w:pPr>
              <w:spacing w:line="240" w:lineRule="auto"/>
              <w:jc w:val="left"/>
              <w:rPr>
                <w:rFonts w:ascii="Times New Roman" w:hAnsi="Times New Roman" w:cs="Times New Roman"/>
                <w:color w:val="000000"/>
                <w:sz w:val="20"/>
                <w:szCs w:val="20"/>
              </w:rPr>
            </w:pPr>
          </w:p>
        </w:tc>
        <w:tc>
          <w:tcPr>
            <w:tcW w:w="1136" w:type="dxa"/>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B12</w:t>
            </w:r>
            <w:r>
              <w:rPr>
                <w:rFonts w:hint="eastAsia" w:cs="Times New Roman"/>
                <w:color w:val="000000"/>
                <w:sz w:val="20"/>
                <w:szCs w:val="20"/>
              </w:rPr>
              <w:t>预算执行率</w:t>
            </w:r>
          </w:p>
        </w:tc>
        <w:tc>
          <w:tcPr>
            <w:tcW w:w="775" w:type="dxa"/>
            <w:shd w:val="clear" w:color="auto" w:fill="auto"/>
            <w:noWrap/>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3305" w:type="dxa"/>
            <w:shd w:val="clear" w:color="auto" w:fill="auto"/>
            <w:vAlign w:val="center"/>
          </w:tcPr>
          <w:p>
            <w:pPr>
              <w:spacing w:line="240" w:lineRule="auto"/>
              <w:rPr>
                <w:color w:val="000000"/>
                <w:sz w:val="20"/>
                <w:szCs w:val="20"/>
              </w:rPr>
            </w:pPr>
            <w:r>
              <w:rPr>
                <w:rFonts w:hint="eastAsia"/>
                <w:color w:val="000000"/>
                <w:sz w:val="20"/>
                <w:szCs w:val="20"/>
              </w:rPr>
              <w:t>项目预算资金是否按照计划执行，用以反映或考核项目预算执行情况。</w:t>
            </w:r>
          </w:p>
        </w:tc>
        <w:tc>
          <w:tcPr>
            <w:tcW w:w="4111" w:type="dxa"/>
            <w:shd w:val="clear" w:color="auto" w:fill="auto"/>
            <w:vAlign w:val="center"/>
          </w:tcPr>
          <w:p>
            <w:pPr>
              <w:spacing w:line="240" w:lineRule="auto"/>
              <w:rPr>
                <w:color w:val="000000"/>
                <w:sz w:val="20"/>
                <w:szCs w:val="20"/>
              </w:rPr>
            </w:pPr>
            <w:r>
              <w:rPr>
                <w:rFonts w:hint="eastAsia"/>
                <w:color w:val="000000"/>
                <w:sz w:val="20"/>
                <w:szCs w:val="20"/>
              </w:rPr>
              <w:t>预算执行率=（实际支出资金/实际到位资金）×</w:t>
            </w:r>
            <w:r>
              <w:rPr>
                <w:rFonts w:ascii="Times New Roman" w:hAnsi="Times New Roman" w:cs="Times New Roman"/>
                <w:color w:val="000000"/>
                <w:sz w:val="20"/>
                <w:szCs w:val="20"/>
              </w:rPr>
              <w:t>100</w:t>
            </w:r>
            <w:r>
              <w:rPr>
                <w:rFonts w:hint="eastAsia"/>
                <w:color w:val="000000"/>
                <w:sz w:val="20"/>
                <w:szCs w:val="20"/>
              </w:rPr>
              <w:t>%（</w:t>
            </w:r>
            <w:r>
              <w:rPr>
                <w:rFonts w:ascii="Times New Roman" w:hAnsi="Times New Roman" w:cs="Times New Roman"/>
                <w:color w:val="000000"/>
                <w:sz w:val="20"/>
                <w:szCs w:val="20"/>
              </w:rPr>
              <w:t>3</w:t>
            </w:r>
            <w:r>
              <w:rPr>
                <w:rFonts w:hint="eastAsia"/>
                <w:color w:val="000000"/>
                <w:sz w:val="20"/>
                <w:szCs w:val="20"/>
              </w:rPr>
              <w:t>分）；每低</w:t>
            </w:r>
            <w:r>
              <w:rPr>
                <w:rFonts w:ascii="Times New Roman" w:hAnsi="Times New Roman" w:cs="Times New Roman"/>
                <w:color w:val="000000"/>
                <w:sz w:val="20"/>
                <w:szCs w:val="20"/>
              </w:rPr>
              <w:t>10</w:t>
            </w:r>
            <w:r>
              <w:rPr>
                <w:rFonts w:hint="eastAsia"/>
                <w:color w:val="000000"/>
                <w:sz w:val="20"/>
                <w:szCs w:val="20"/>
              </w:rPr>
              <w:t>%，扣</w:t>
            </w:r>
            <w:r>
              <w:rPr>
                <w:rFonts w:ascii="Times New Roman" w:hAnsi="Times New Roman" w:cs="Times New Roman"/>
                <w:color w:val="000000"/>
                <w:sz w:val="20"/>
                <w:szCs w:val="20"/>
              </w:rPr>
              <w:t>0.5</w:t>
            </w:r>
            <w:r>
              <w:rPr>
                <w:rFonts w:hint="eastAsia"/>
                <w:color w:val="000000"/>
                <w:sz w:val="20"/>
                <w:szCs w:val="20"/>
              </w:rPr>
              <w:t>分；若低于</w:t>
            </w:r>
            <w:r>
              <w:rPr>
                <w:rFonts w:ascii="Times New Roman" w:hAnsi="Times New Roman" w:cs="Times New Roman"/>
                <w:color w:val="000000"/>
                <w:sz w:val="20"/>
                <w:szCs w:val="20"/>
              </w:rPr>
              <w:t>60%</w:t>
            </w:r>
            <w:r>
              <w:rPr>
                <w:rFonts w:hint="eastAsia"/>
                <w:color w:val="000000"/>
                <w:sz w:val="20"/>
                <w:szCs w:val="20"/>
              </w:rPr>
              <w:t>,扣至</w:t>
            </w:r>
            <w:r>
              <w:rPr>
                <w:rFonts w:ascii="Times New Roman" w:hAnsi="Times New Roman" w:cs="Times New Roman"/>
                <w:color w:val="000000"/>
                <w:sz w:val="20"/>
                <w:szCs w:val="20"/>
              </w:rPr>
              <w:t>0</w:t>
            </w:r>
            <w:r>
              <w:rPr>
                <w:rFonts w:hint="eastAsia"/>
                <w:color w:val="000000"/>
                <w:sz w:val="20"/>
                <w:szCs w:val="20"/>
              </w:rPr>
              <w:t>分。</w:t>
            </w:r>
          </w:p>
        </w:tc>
        <w:tc>
          <w:tcPr>
            <w:tcW w:w="716" w:type="dxa"/>
            <w:shd w:val="clear" w:color="auto" w:fill="auto"/>
            <w:noWrap/>
            <w:vAlign w:val="center"/>
          </w:tcPr>
          <w:p>
            <w:pPr>
              <w:spacing w:line="240" w:lineRule="auto"/>
              <w:jc w:val="center"/>
              <w:rPr>
                <w:rFonts w:hint="default" w:eastAsia="宋体"/>
                <w:color w:val="000000"/>
                <w:sz w:val="20"/>
                <w:szCs w:val="20"/>
                <w:lang w:val="en-US" w:eastAsia="zh-CN"/>
              </w:rPr>
            </w:pPr>
            <w:r>
              <w:rPr>
                <w:rFonts w:hint="eastAsia"/>
                <w:color w:val="000000"/>
                <w:sz w:val="20"/>
                <w:szCs w:val="20"/>
                <w:lang w:val="en-US" w:eastAsia="zh-CN"/>
              </w:rPr>
              <w:t>2.66</w:t>
            </w:r>
          </w:p>
        </w:tc>
        <w:tc>
          <w:tcPr>
            <w:tcW w:w="1137" w:type="dxa"/>
            <w:shd w:val="clear" w:color="auto" w:fill="auto"/>
            <w:vAlign w:val="center"/>
          </w:tcPr>
          <w:p>
            <w:pPr>
              <w:spacing w:line="240" w:lineRule="auto"/>
              <w:jc w:val="center"/>
              <w:rPr>
                <w:color w:val="000000"/>
                <w:sz w:val="20"/>
                <w:szCs w:val="20"/>
              </w:rPr>
            </w:pPr>
            <w:r>
              <w:rPr>
                <w:rFonts w:hint="eastAsia"/>
                <w:color w:val="000000"/>
                <w:sz w:val="20"/>
                <w:szCs w:val="20"/>
                <w:lang w:val="en-US" w:eastAsia="zh-CN"/>
              </w:rPr>
              <w:t>88</w:t>
            </w:r>
            <w:r>
              <w:rPr>
                <w:rFonts w:hint="eastAsia"/>
                <w:color w:val="000000"/>
                <w:sz w:val="20"/>
                <w:szCs w:val="20"/>
              </w:rPr>
              <w:t>.</w:t>
            </w:r>
            <w:r>
              <w:rPr>
                <w:rFonts w:hint="eastAsia"/>
                <w:color w:val="000000"/>
                <w:sz w:val="20"/>
                <w:szCs w:val="20"/>
                <w:lang w:val="en-US" w:eastAsia="zh-CN"/>
              </w:rPr>
              <w:t>67</w:t>
            </w:r>
            <w:r>
              <w:rPr>
                <w:rFonts w:hint="eastAsia"/>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7" w:type="dxa"/>
            <w:vMerge w:val="continue"/>
            <w:vAlign w:val="center"/>
          </w:tcPr>
          <w:p>
            <w:pPr>
              <w:spacing w:line="240" w:lineRule="auto"/>
              <w:jc w:val="left"/>
              <w:rPr>
                <w:rFonts w:ascii="Times New Roman" w:hAnsi="Times New Roman" w:cs="Times New Roman"/>
                <w:color w:val="000000"/>
                <w:sz w:val="20"/>
                <w:szCs w:val="20"/>
              </w:rPr>
            </w:pPr>
          </w:p>
        </w:tc>
        <w:tc>
          <w:tcPr>
            <w:tcW w:w="688" w:type="dxa"/>
            <w:vMerge w:val="continue"/>
            <w:vAlign w:val="center"/>
          </w:tcPr>
          <w:p>
            <w:pPr>
              <w:spacing w:line="240" w:lineRule="auto"/>
              <w:jc w:val="left"/>
              <w:rPr>
                <w:rFonts w:ascii="Times New Roman" w:hAnsi="Times New Roman" w:cs="Times New Roman"/>
                <w:color w:val="000000"/>
                <w:sz w:val="20"/>
                <w:szCs w:val="20"/>
              </w:rPr>
            </w:pPr>
          </w:p>
        </w:tc>
        <w:tc>
          <w:tcPr>
            <w:tcW w:w="780" w:type="dxa"/>
            <w:vMerge w:val="continue"/>
            <w:vAlign w:val="center"/>
          </w:tcPr>
          <w:p>
            <w:pPr>
              <w:spacing w:line="240" w:lineRule="auto"/>
              <w:jc w:val="left"/>
              <w:rPr>
                <w:rFonts w:ascii="Times New Roman" w:hAnsi="Times New Roman" w:cs="Times New Roman"/>
                <w:color w:val="000000"/>
                <w:sz w:val="20"/>
                <w:szCs w:val="20"/>
              </w:rPr>
            </w:pPr>
          </w:p>
        </w:tc>
        <w:tc>
          <w:tcPr>
            <w:tcW w:w="757" w:type="dxa"/>
            <w:vMerge w:val="continue"/>
            <w:vAlign w:val="center"/>
          </w:tcPr>
          <w:p>
            <w:pPr>
              <w:spacing w:line="240" w:lineRule="auto"/>
              <w:jc w:val="left"/>
              <w:rPr>
                <w:rFonts w:ascii="Times New Roman" w:hAnsi="Times New Roman" w:cs="Times New Roman"/>
                <w:color w:val="000000"/>
                <w:sz w:val="20"/>
                <w:szCs w:val="20"/>
              </w:rPr>
            </w:pPr>
          </w:p>
        </w:tc>
        <w:tc>
          <w:tcPr>
            <w:tcW w:w="1136" w:type="dxa"/>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B13</w:t>
            </w:r>
            <w:r>
              <w:rPr>
                <w:rFonts w:hint="eastAsia" w:cs="Times New Roman"/>
                <w:color w:val="000000"/>
                <w:sz w:val="20"/>
                <w:szCs w:val="20"/>
              </w:rPr>
              <w:t>资金使用合规性</w:t>
            </w:r>
          </w:p>
        </w:tc>
        <w:tc>
          <w:tcPr>
            <w:tcW w:w="775" w:type="dxa"/>
            <w:shd w:val="clear" w:color="auto" w:fill="auto"/>
            <w:noWrap/>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3305" w:type="dxa"/>
            <w:shd w:val="clear" w:color="auto" w:fill="auto"/>
            <w:vAlign w:val="center"/>
          </w:tcPr>
          <w:p>
            <w:pPr>
              <w:spacing w:line="240" w:lineRule="auto"/>
              <w:rPr>
                <w:color w:val="000000"/>
                <w:sz w:val="20"/>
                <w:szCs w:val="20"/>
              </w:rPr>
            </w:pPr>
            <w:r>
              <w:rPr>
                <w:rFonts w:hint="eastAsia"/>
                <w:color w:val="000000"/>
                <w:sz w:val="20"/>
                <w:szCs w:val="20"/>
              </w:rPr>
              <w:t>项目资金使用是否符合相关的财务管理制度规定，用以反映和考核项目资金的规范运行情况。</w:t>
            </w:r>
          </w:p>
        </w:tc>
        <w:tc>
          <w:tcPr>
            <w:tcW w:w="4111" w:type="dxa"/>
            <w:shd w:val="clear" w:color="auto" w:fill="auto"/>
            <w:vAlign w:val="center"/>
          </w:tcPr>
          <w:p>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hint="eastAsia" w:cs="Times New Roman"/>
                <w:color w:val="000000"/>
                <w:sz w:val="20"/>
                <w:szCs w:val="20"/>
              </w:rPr>
              <w:t>.符合国家财经法规和财务管理制度以及有关专项资金管理办法的规定（</w:t>
            </w:r>
            <w:r>
              <w:rPr>
                <w:rFonts w:ascii="Times New Roman" w:hAnsi="Times New Roman" w:cs="Times New Roman"/>
                <w:color w:val="000000"/>
                <w:sz w:val="20"/>
                <w:szCs w:val="20"/>
              </w:rPr>
              <w:t>1</w:t>
            </w:r>
            <w:r>
              <w:rPr>
                <w:rFonts w:hint="eastAsia" w:cs="Times New Roman"/>
                <w:color w:val="000000"/>
                <w:sz w:val="20"/>
                <w:szCs w:val="20"/>
              </w:rPr>
              <w:t>分）；</w:t>
            </w:r>
            <w:r>
              <w:rPr>
                <w:rFonts w:ascii="Times New Roman" w:hAnsi="Times New Roman" w:cs="Times New Roman"/>
                <w:color w:val="000000"/>
                <w:sz w:val="20"/>
                <w:szCs w:val="20"/>
              </w:rPr>
              <w:t>2</w:t>
            </w:r>
            <w:r>
              <w:rPr>
                <w:rFonts w:hint="eastAsia" w:cs="Times New Roman"/>
                <w:color w:val="000000"/>
                <w:sz w:val="20"/>
                <w:szCs w:val="20"/>
              </w:rPr>
              <w:t>.资金的拨付有完整的审批程序和手续（</w:t>
            </w:r>
            <w:r>
              <w:rPr>
                <w:rFonts w:ascii="Times New Roman" w:hAnsi="Times New Roman" w:cs="Times New Roman"/>
                <w:color w:val="000000"/>
                <w:sz w:val="20"/>
                <w:szCs w:val="20"/>
              </w:rPr>
              <w:t>2</w:t>
            </w:r>
            <w:r>
              <w:rPr>
                <w:rFonts w:hint="eastAsia" w:cs="Times New Roman"/>
                <w:color w:val="000000"/>
                <w:sz w:val="20"/>
                <w:szCs w:val="20"/>
              </w:rPr>
              <w:t>分）；</w:t>
            </w:r>
            <w:r>
              <w:rPr>
                <w:rFonts w:ascii="Times New Roman" w:hAnsi="Times New Roman" w:cs="Times New Roman"/>
                <w:color w:val="000000"/>
                <w:sz w:val="20"/>
                <w:szCs w:val="20"/>
              </w:rPr>
              <w:t>3</w:t>
            </w:r>
            <w:r>
              <w:rPr>
                <w:rFonts w:hint="eastAsia" w:cs="Times New Roman"/>
                <w:color w:val="000000"/>
                <w:sz w:val="20"/>
                <w:szCs w:val="20"/>
              </w:rPr>
              <w:t>.符合预算批复或实施方案规定的资金用途（</w:t>
            </w:r>
            <w:r>
              <w:rPr>
                <w:rFonts w:ascii="Times New Roman" w:hAnsi="Times New Roman" w:cs="Times New Roman"/>
                <w:color w:val="000000"/>
                <w:sz w:val="20"/>
                <w:szCs w:val="20"/>
              </w:rPr>
              <w:t>1</w:t>
            </w:r>
            <w:r>
              <w:rPr>
                <w:rFonts w:hint="eastAsia" w:cs="Times New Roman"/>
                <w:color w:val="000000"/>
                <w:sz w:val="20"/>
                <w:szCs w:val="20"/>
              </w:rPr>
              <w:t>分）；</w:t>
            </w:r>
            <w:r>
              <w:rPr>
                <w:rFonts w:ascii="Times New Roman" w:hAnsi="Times New Roman" w:cs="Times New Roman"/>
                <w:color w:val="000000"/>
                <w:sz w:val="20"/>
                <w:szCs w:val="20"/>
              </w:rPr>
              <w:t>4</w:t>
            </w:r>
            <w:r>
              <w:rPr>
                <w:rFonts w:hint="eastAsia" w:cs="Times New Roman"/>
                <w:color w:val="000000"/>
                <w:sz w:val="20"/>
                <w:szCs w:val="20"/>
              </w:rPr>
              <w:t>.不存在截留、挤占、挪用、虚列支出等情况（</w:t>
            </w:r>
            <w:r>
              <w:rPr>
                <w:rFonts w:ascii="Times New Roman" w:hAnsi="Times New Roman" w:cs="Times New Roman"/>
                <w:color w:val="000000"/>
                <w:sz w:val="20"/>
                <w:szCs w:val="20"/>
              </w:rPr>
              <w:t>1</w:t>
            </w:r>
            <w:r>
              <w:rPr>
                <w:rFonts w:hint="eastAsia" w:cs="Times New Roman"/>
                <w:color w:val="000000"/>
                <w:sz w:val="20"/>
                <w:szCs w:val="20"/>
              </w:rPr>
              <w:t>分）。</w:t>
            </w:r>
          </w:p>
        </w:tc>
        <w:tc>
          <w:tcPr>
            <w:tcW w:w="716" w:type="dxa"/>
            <w:shd w:val="clear" w:color="auto" w:fill="auto"/>
            <w:noWrap/>
            <w:vAlign w:val="center"/>
          </w:tcPr>
          <w:p>
            <w:pPr>
              <w:spacing w:line="240" w:lineRule="auto"/>
              <w:jc w:val="center"/>
              <w:rPr>
                <w:color w:val="000000"/>
                <w:sz w:val="20"/>
                <w:szCs w:val="20"/>
              </w:rPr>
            </w:pPr>
            <w:r>
              <w:rPr>
                <w:rFonts w:hint="eastAsia"/>
                <w:color w:val="000000"/>
                <w:sz w:val="20"/>
                <w:szCs w:val="20"/>
              </w:rPr>
              <w:t>5</w:t>
            </w:r>
          </w:p>
        </w:tc>
        <w:tc>
          <w:tcPr>
            <w:tcW w:w="1137" w:type="dxa"/>
            <w:shd w:val="clear" w:color="auto" w:fill="auto"/>
            <w:vAlign w:val="center"/>
          </w:tcPr>
          <w:p>
            <w:pPr>
              <w:spacing w:line="240" w:lineRule="auto"/>
              <w:jc w:val="center"/>
              <w:rPr>
                <w:color w:val="000000"/>
                <w:sz w:val="20"/>
                <w:szCs w:val="20"/>
              </w:rPr>
            </w:pPr>
            <w:r>
              <w:rPr>
                <w:rFonts w:hint="eastAsia"/>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7" w:type="dxa"/>
            <w:vMerge w:val="continue"/>
            <w:vAlign w:val="center"/>
          </w:tcPr>
          <w:p>
            <w:pPr>
              <w:spacing w:line="240" w:lineRule="auto"/>
              <w:jc w:val="left"/>
              <w:rPr>
                <w:rFonts w:ascii="Times New Roman" w:hAnsi="Times New Roman" w:cs="Times New Roman"/>
                <w:color w:val="000000"/>
                <w:sz w:val="20"/>
                <w:szCs w:val="20"/>
              </w:rPr>
            </w:pPr>
          </w:p>
        </w:tc>
        <w:tc>
          <w:tcPr>
            <w:tcW w:w="688" w:type="dxa"/>
            <w:vMerge w:val="continue"/>
            <w:vAlign w:val="center"/>
          </w:tcPr>
          <w:p>
            <w:pPr>
              <w:spacing w:line="240" w:lineRule="auto"/>
              <w:jc w:val="left"/>
              <w:rPr>
                <w:rFonts w:ascii="Times New Roman" w:hAnsi="Times New Roman" w:cs="Times New Roman"/>
                <w:color w:val="000000"/>
                <w:sz w:val="20"/>
                <w:szCs w:val="20"/>
              </w:rPr>
            </w:pPr>
          </w:p>
        </w:tc>
        <w:tc>
          <w:tcPr>
            <w:tcW w:w="780" w:type="dxa"/>
            <w:vMerge w:val="restart"/>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B2</w:t>
            </w:r>
            <w:r>
              <w:rPr>
                <w:rFonts w:hint="eastAsia" w:cs="Times New Roman"/>
                <w:color w:val="000000"/>
                <w:sz w:val="20"/>
                <w:szCs w:val="20"/>
              </w:rPr>
              <w:t>组织实施</w:t>
            </w:r>
          </w:p>
        </w:tc>
        <w:tc>
          <w:tcPr>
            <w:tcW w:w="757" w:type="dxa"/>
            <w:vMerge w:val="restart"/>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136" w:type="dxa"/>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B21</w:t>
            </w:r>
            <w:r>
              <w:rPr>
                <w:rFonts w:hint="eastAsia" w:cs="Times New Roman"/>
                <w:color w:val="000000"/>
                <w:sz w:val="20"/>
                <w:szCs w:val="20"/>
              </w:rPr>
              <w:t>管理制度健全性</w:t>
            </w:r>
          </w:p>
        </w:tc>
        <w:tc>
          <w:tcPr>
            <w:tcW w:w="775" w:type="dxa"/>
            <w:shd w:val="clear" w:color="auto" w:fill="auto"/>
            <w:noWrap/>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3305" w:type="dxa"/>
            <w:shd w:val="clear" w:color="auto" w:fill="auto"/>
            <w:vAlign w:val="center"/>
          </w:tcPr>
          <w:p>
            <w:pPr>
              <w:spacing w:line="240" w:lineRule="auto"/>
              <w:rPr>
                <w:color w:val="000000"/>
                <w:sz w:val="20"/>
                <w:szCs w:val="20"/>
              </w:rPr>
            </w:pPr>
            <w:r>
              <w:rPr>
                <w:rFonts w:hint="eastAsia"/>
                <w:color w:val="000000"/>
                <w:sz w:val="20"/>
                <w:szCs w:val="20"/>
              </w:rPr>
              <w:t>项目实施单位的财务和业务管理制度是否健全，用以反映和考核财务和业务管理制度对项目顺利实施的保障情况。</w:t>
            </w:r>
          </w:p>
        </w:tc>
        <w:tc>
          <w:tcPr>
            <w:tcW w:w="4111" w:type="dxa"/>
            <w:shd w:val="clear" w:color="auto" w:fill="auto"/>
            <w:vAlign w:val="center"/>
          </w:tcPr>
          <w:p>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hint="eastAsia" w:cs="Times New Roman"/>
                <w:color w:val="000000"/>
                <w:sz w:val="20"/>
                <w:szCs w:val="20"/>
              </w:rPr>
              <w:t>.制定或具有相应的财务和业务管理制度（</w:t>
            </w:r>
            <w:r>
              <w:rPr>
                <w:rFonts w:ascii="Times New Roman" w:hAnsi="Times New Roman" w:cs="Times New Roman"/>
                <w:color w:val="000000"/>
                <w:sz w:val="20"/>
                <w:szCs w:val="20"/>
              </w:rPr>
              <w:t>1</w:t>
            </w:r>
            <w:r>
              <w:rPr>
                <w:rFonts w:hint="eastAsia" w:cs="Times New Roman"/>
                <w:color w:val="000000"/>
                <w:sz w:val="20"/>
                <w:szCs w:val="20"/>
              </w:rPr>
              <w:t>分）；</w:t>
            </w:r>
            <w:r>
              <w:rPr>
                <w:rFonts w:ascii="Times New Roman" w:hAnsi="Times New Roman" w:cs="Times New Roman"/>
                <w:color w:val="000000"/>
                <w:sz w:val="20"/>
                <w:szCs w:val="20"/>
              </w:rPr>
              <w:t>2</w:t>
            </w:r>
            <w:r>
              <w:rPr>
                <w:rFonts w:hint="eastAsia" w:cs="Times New Roman"/>
                <w:color w:val="000000"/>
                <w:sz w:val="20"/>
                <w:szCs w:val="20"/>
              </w:rPr>
              <w:t>.财务和业务管理制度合法、合规、完整（</w:t>
            </w:r>
            <w:r>
              <w:rPr>
                <w:rFonts w:ascii="Times New Roman" w:hAnsi="Times New Roman" w:cs="Times New Roman"/>
                <w:color w:val="000000"/>
                <w:sz w:val="20"/>
                <w:szCs w:val="20"/>
              </w:rPr>
              <w:t>1</w:t>
            </w:r>
            <w:r>
              <w:rPr>
                <w:rFonts w:hint="eastAsia" w:cs="Times New Roman"/>
                <w:color w:val="000000"/>
                <w:sz w:val="20"/>
                <w:szCs w:val="20"/>
              </w:rPr>
              <w:t>分）。</w:t>
            </w:r>
          </w:p>
        </w:tc>
        <w:tc>
          <w:tcPr>
            <w:tcW w:w="716" w:type="dxa"/>
            <w:shd w:val="clear" w:color="auto" w:fill="auto"/>
            <w:noWrap/>
            <w:vAlign w:val="center"/>
          </w:tcPr>
          <w:p>
            <w:pPr>
              <w:spacing w:line="240" w:lineRule="auto"/>
              <w:jc w:val="center"/>
              <w:rPr>
                <w:color w:val="000000"/>
                <w:sz w:val="20"/>
                <w:szCs w:val="20"/>
              </w:rPr>
            </w:pPr>
            <w:r>
              <w:rPr>
                <w:rFonts w:hint="eastAsia"/>
                <w:color w:val="000000"/>
                <w:sz w:val="20"/>
                <w:szCs w:val="20"/>
              </w:rPr>
              <w:t>1</w:t>
            </w:r>
          </w:p>
        </w:tc>
        <w:tc>
          <w:tcPr>
            <w:tcW w:w="1137" w:type="dxa"/>
            <w:shd w:val="clear" w:color="auto" w:fill="auto"/>
            <w:vAlign w:val="center"/>
          </w:tcPr>
          <w:p>
            <w:pPr>
              <w:spacing w:line="240" w:lineRule="auto"/>
              <w:jc w:val="center"/>
              <w:rPr>
                <w:color w:val="000000"/>
                <w:sz w:val="20"/>
                <w:szCs w:val="20"/>
              </w:rPr>
            </w:pPr>
            <w:r>
              <w:rPr>
                <w:rFonts w:hint="eastAsia"/>
                <w:color w:val="000000"/>
                <w:sz w:val="20"/>
                <w:szCs w:val="20"/>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7" w:type="dxa"/>
            <w:vMerge w:val="continue"/>
            <w:vAlign w:val="center"/>
          </w:tcPr>
          <w:p>
            <w:pPr>
              <w:spacing w:line="240" w:lineRule="auto"/>
              <w:jc w:val="left"/>
              <w:rPr>
                <w:rFonts w:ascii="Times New Roman" w:hAnsi="Times New Roman" w:cs="Times New Roman"/>
                <w:color w:val="000000"/>
                <w:sz w:val="20"/>
                <w:szCs w:val="20"/>
              </w:rPr>
            </w:pPr>
          </w:p>
        </w:tc>
        <w:tc>
          <w:tcPr>
            <w:tcW w:w="688" w:type="dxa"/>
            <w:vMerge w:val="continue"/>
            <w:vAlign w:val="center"/>
          </w:tcPr>
          <w:p>
            <w:pPr>
              <w:spacing w:line="240" w:lineRule="auto"/>
              <w:jc w:val="left"/>
              <w:rPr>
                <w:rFonts w:ascii="Times New Roman" w:hAnsi="Times New Roman" w:cs="Times New Roman"/>
                <w:color w:val="000000"/>
                <w:sz w:val="20"/>
                <w:szCs w:val="20"/>
              </w:rPr>
            </w:pPr>
          </w:p>
        </w:tc>
        <w:tc>
          <w:tcPr>
            <w:tcW w:w="780" w:type="dxa"/>
            <w:vMerge w:val="continue"/>
            <w:vAlign w:val="center"/>
          </w:tcPr>
          <w:p>
            <w:pPr>
              <w:spacing w:line="240" w:lineRule="auto"/>
              <w:jc w:val="left"/>
              <w:rPr>
                <w:rFonts w:ascii="Times New Roman" w:hAnsi="Times New Roman" w:cs="Times New Roman"/>
                <w:color w:val="000000"/>
                <w:sz w:val="20"/>
                <w:szCs w:val="20"/>
              </w:rPr>
            </w:pPr>
          </w:p>
        </w:tc>
        <w:tc>
          <w:tcPr>
            <w:tcW w:w="757" w:type="dxa"/>
            <w:vMerge w:val="continue"/>
            <w:vAlign w:val="center"/>
          </w:tcPr>
          <w:p>
            <w:pPr>
              <w:spacing w:line="240" w:lineRule="auto"/>
              <w:jc w:val="left"/>
              <w:rPr>
                <w:rFonts w:ascii="Times New Roman" w:hAnsi="Times New Roman" w:cs="Times New Roman"/>
                <w:color w:val="000000"/>
                <w:sz w:val="20"/>
                <w:szCs w:val="20"/>
              </w:rPr>
            </w:pPr>
          </w:p>
        </w:tc>
        <w:tc>
          <w:tcPr>
            <w:tcW w:w="1136" w:type="dxa"/>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B22</w:t>
            </w:r>
            <w:r>
              <w:rPr>
                <w:rFonts w:hint="eastAsia" w:cs="Times New Roman"/>
                <w:color w:val="000000"/>
                <w:sz w:val="20"/>
                <w:szCs w:val="20"/>
              </w:rPr>
              <w:t>制度执行有效性</w:t>
            </w:r>
          </w:p>
        </w:tc>
        <w:tc>
          <w:tcPr>
            <w:tcW w:w="775" w:type="dxa"/>
            <w:shd w:val="clear" w:color="auto" w:fill="auto"/>
            <w:noWrap/>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3305" w:type="dxa"/>
            <w:shd w:val="clear" w:color="auto" w:fill="auto"/>
            <w:vAlign w:val="center"/>
          </w:tcPr>
          <w:p>
            <w:pPr>
              <w:spacing w:line="240" w:lineRule="auto"/>
              <w:rPr>
                <w:color w:val="000000"/>
                <w:sz w:val="20"/>
                <w:szCs w:val="20"/>
              </w:rPr>
            </w:pPr>
            <w:r>
              <w:rPr>
                <w:rFonts w:hint="eastAsia"/>
                <w:color w:val="000000"/>
                <w:sz w:val="20"/>
                <w:szCs w:val="20"/>
              </w:rPr>
              <w:t>项目实施是否符合相关管理规定，用以反映和考核相关管理制度的有效执行情况。</w:t>
            </w:r>
          </w:p>
        </w:tc>
        <w:tc>
          <w:tcPr>
            <w:tcW w:w="4111" w:type="dxa"/>
            <w:shd w:val="clear" w:color="auto" w:fill="auto"/>
            <w:vAlign w:val="center"/>
          </w:tcPr>
          <w:p>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hint="eastAsia" w:cs="Times New Roman"/>
                <w:color w:val="000000"/>
                <w:sz w:val="20"/>
                <w:szCs w:val="20"/>
              </w:rPr>
              <w:t>.项目实施遵循相关法律法规和相关管理规定（</w:t>
            </w:r>
            <w:r>
              <w:rPr>
                <w:rFonts w:ascii="Times New Roman" w:hAnsi="Times New Roman" w:cs="Times New Roman"/>
                <w:color w:val="000000"/>
                <w:sz w:val="20"/>
                <w:szCs w:val="20"/>
              </w:rPr>
              <w:t>1</w:t>
            </w:r>
            <w:r>
              <w:rPr>
                <w:rFonts w:hint="eastAsia" w:cs="Times New Roman"/>
                <w:color w:val="000000"/>
                <w:sz w:val="20"/>
                <w:szCs w:val="20"/>
              </w:rPr>
              <w:t>分）；</w:t>
            </w:r>
            <w:r>
              <w:rPr>
                <w:rFonts w:ascii="Times New Roman" w:hAnsi="Times New Roman" w:cs="Times New Roman"/>
                <w:color w:val="000000"/>
                <w:sz w:val="20"/>
                <w:szCs w:val="20"/>
              </w:rPr>
              <w:t>2</w:t>
            </w:r>
            <w:r>
              <w:rPr>
                <w:rFonts w:hint="eastAsia" w:cs="Times New Roman"/>
                <w:color w:val="000000"/>
                <w:sz w:val="20"/>
                <w:szCs w:val="20"/>
              </w:rPr>
              <w:t>.项目调整及支出调整手续完备（</w:t>
            </w:r>
            <w:r>
              <w:rPr>
                <w:rFonts w:ascii="Times New Roman" w:hAnsi="Times New Roman" w:cs="Times New Roman"/>
                <w:color w:val="000000"/>
                <w:sz w:val="20"/>
                <w:szCs w:val="20"/>
              </w:rPr>
              <w:t>1</w:t>
            </w:r>
            <w:r>
              <w:rPr>
                <w:rFonts w:hint="eastAsia" w:cs="Times New Roman"/>
                <w:color w:val="000000"/>
                <w:sz w:val="20"/>
                <w:szCs w:val="20"/>
              </w:rPr>
              <w:t>分）；</w:t>
            </w:r>
            <w:r>
              <w:rPr>
                <w:rFonts w:ascii="Times New Roman" w:hAnsi="Times New Roman" w:cs="Times New Roman"/>
                <w:color w:val="000000"/>
                <w:sz w:val="20"/>
                <w:szCs w:val="20"/>
              </w:rPr>
              <w:t>3</w:t>
            </w:r>
            <w:r>
              <w:rPr>
                <w:rFonts w:hint="eastAsia" w:cs="Times New Roman"/>
                <w:color w:val="000000"/>
                <w:sz w:val="20"/>
                <w:szCs w:val="20"/>
              </w:rPr>
              <w:t>.项目合同书、验收报告、技术鉴定等资料齐全并及时归档（</w:t>
            </w:r>
            <w:r>
              <w:rPr>
                <w:rFonts w:ascii="Times New Roman" w:hAnsi="Times New Roman" w:cs="Times New Roman"/>
                <w:color w:val="000000"/>
                <w:sz w:val="20"/>
                <w:szCs w:val="20"/>
              </w:rPr>
              <w:t>1</w:t>
            </w:r>
            <w:r>
              <w:rPr>
                <w:rFonts w:hint="eastAsia" w:cs="Times New Roman"/>
                <w:color w:val="000000"/>
                <w:sz w:val="20"/>
                <w:szCs w:val="20"/>
              </w:rPr>
              <w:t>分）；</w:t>
            </w:r>
            <w:r>
              <w:rPr>
                <w:rFonts w:ascii="Times New Roman" w:hAnsi="Times New Roman" w:cs="Times New Roman"/>
                <w:color w:val="000000"/>
                <w:sz w:val="20"/>
                <w:szCs w:val="20"/>
              </w:rPr>
              <w:t>4</w:t>
            </w:r>
            <w:r>
              <w:rPr>
                <w:rFonts w:hint="eastAsia" w:cs="Times New Roman"/>
                <w:color w:val="000000"/>
                <w:sz w:val="20"/>
                <w:szCs w:val="20"/>
              </w:rPr>
              <w:t>.项目实施涉及到的招标、政府采购环节按照相关规定执行（</w:t>
            </w:r>
            <w:r>
              <w:rPr>
                <w:rFonts w:ascii="Times New Roman" w:hAnsi="Times New Roman" w:cs="Times New Roman"/>
                <w:color w:val="000000"/>
                <w:sz w:val="20"/>
                <w:szCs w:val="20"/>
              </w:rPr>
              <w:t>1</w:t>
            </w:r>
            <w:r>
              <w:rPr>
                <w:rFonts w:hint="eastAsia" w:cs="Times New Roman"/>
                <w:color w:val="000000"/>
                <w:sz w:val="20"/>
                <w:szCs w:val="20"/>
              </w:rPr>
              <w:t>分）。</w:t>
            </w:r>
          </w:p>
        </w:tc>
        <w:tc>
          <w:tcPr>
            <w:tcW w:w="716" w:type="dxa"/>
            <w:shd w:val="clear" w:color="auto" w:fill="auto"/>
            <w:noWrap/>
            <w:vAlign w:val="center"/>
          </w:tcPr>
          <w:p>
            <w:pPr>
              <w:spacing w:line="240" w:lineRule="auto"/>
              <w:jc w:val="center"/>
              <w:rPr>
                <w:color w:val="000000"/>
                <w:sz w:val="20"/>
                <w:szCs w:val="20"/>
              </w:rPr>
            </w:pPr>
            <w:r>
              <w:rPr>
                <w:rFonts w:hint="eastAsia"/>
                <w:color w:val="000000"/>
                <w:sz w:val="20"/>
                <w:szCs w:val="20"/>
              </w:rPr>
              <w:t>2</w:t>
            </w:r>
          </w:p>
        </w:tc>
        <w:tc>
          <w:tcPr>
            <w:tcW w:w="1137" w:type="dxa"/>
            <w:shd w:val="clear" w:color="auto" w:fill="auto"/>
            <w:vAlign w:val="center"/>
          </w:tcPr>
          <w:p>
            <w:pPr>
              <w:spacing w:line="240" w:lineRule="auto"/>
              <w:jc w:val="center"/>
              <w:rPr>
                <w:color w:val="000000"/>
                <w:sz w:val="20"/>
                <w:szCs w:val="20"/>
              </w:rPr>
            </w:pPr>
            <w:r>
              <w:rPr>
                <w:rFonts w:hint="eastAsia"/>
                <w:color w:val="000000"/>
                <w:sz w:val="20"/>
                <w:szCs w:val="20"/>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7" w:type="dxa"/>
            <w:vMerge w:val="continue"/>
            <w:vAlign w:val="center"/>
          </w:tcPr>
          <w:p>
            <w:pPr>
              <w:spacing w:line="240" w:lineRule="auto"/>
              <w:jc w:val="left"/>
              <w:rPr>
                <w:rFonts w:ascii="Times New Roman" w:hAnsi="Times New Roman" w:cs="Times New Roman"/>
                <w:color w:val="000000"/>
                <w:sz w:val="20"/>
                <w:szCs w:val="20"/>
              </w:rPr>
            </w:pPr>
          </w:p>
        </w:tc>
        <w:tc>
          <w:tcPr>
            <w:tcW w:w="688" w:type="dxa"/>
            <w:vMerge w:val="continue"/>
            <w:vAlign w:val="center"/>
          </w:tcPr>
          <w:p>
            <w:pPr>
              <w:spacing w:line="240" w:lineRule="auto"/>
              <w:jc w:val="left"/>
              <w:rPr>
                <w:rFonts w:ascii="Times New Roman" w:hAnsi="Times New Roman" w:cs="Times New Roman"/>
                <w:color w:val="000000"/>
                <w:sz w:val="20"/>
                <w:szCs w:val="20"/>
              </w:rPr>
            </w:pPr>
          </w:p>
        </w:tc>
        <w:tc>
          <w:tcPr>
            <w:tcW w:w="780" w:type="dxa"/>
            <w:vMerge w:val="continue"/>
            <w:vAlign w:val="center"/>
          </w:tcPr>
          <w:p>
            <w:pPr>
              <w:spacing w:line="240" w:lineRule="auto"/>
              <w:jc w:val="left"/>
              <w:rPr>
                <w:rFonts w:ascii="Times New Roman" w:hAnsi="Times New Roman" w:cs="Times New Roman"/>
                <w:color w:val="000000"/>
                <w:sz w:val="20"/>
                <w:szCs w:val="20"/>
              </w:rPr>
            </w:pPr>
          </w:p>
        </w:tc>
        <w:tc>
          <w:tcPr>
            <w:tcW w:w="757" w:type="dxa"/>
            <w:vMerge w:val="continue"/>
            <w:vAlign w:val="center"/>
          </w:tcPr>
          <w:p>
            <w:pPr>
              <w:spacing w:line="240" w:lineRule="auto"/>
              <w:jc w:val="left"/>
              <w:rPr>
                <w:rFonts w:ascii="Times New Roman" w:hAnsi="Times New Roman" w:cs="Times New Roman"/>
                <w:color w:val="000000"/>
                <w:sz w:val="20"/>
                <w:szCs w:val="20"/>
              </w:rPr>
            </w:pPr>
          </w:p>
        </w:tc>
        <w:tc>
          <w:tcPr>
            <w:tcW w:w="1136" w:type="dxa"/>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B23</w:t>
            </w:r>
            <w:r>
              <w:rPr>
                <w:rFonts w:hint="eastAsia" w:cs="Times New Roman"/>
                <w:color w:val="000000"/>
                <w:sz w:val="20"/>
                <w:szCs w:val="20"/>
              </w:rPr>
              <w:t>项目监控规范性</w:t>
            </w:r>
          </w:p>
        </w:tc>
        <w:tc>
          <w:tcPr>
            <w:tcW w:w="775" w:type="dxa"/>
            <w:shd w:val="clear" w:color="auto" w:fill="auto"/>
            <w:noWrap/>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3305" w:type="dxa"/>
            <w:shd w:val="clear" w:color="auto" w:fill="auto"/>
            <w:vAlign w:val="center"/>
          </w:tcPr>
          <w:p>
            <w:pPr>
              <w:spacing w:line="240" w:lineRule="auto"/>
              <w:rPr>
                <w:color w:val="000000"/>
                <w:sz w:val="20"/>
                <w:szCs w:val="20"/>
              </w:rPr>
            </w:pPr>
            <w:r>
              <w:rPr>
                <w:rFonts w:hint="eastAsia"/>
                <w:color w:val="000000"/>
                <w:sz w:val="20"/>
                <w:szCs w:val="20"/>
              </w:rPr>
              <w:t>项目实施单位对项目建设或方案实施的检查、监控、督促和资金的安全、规范运行等管理情况是否采取了必要的监控措施，用以反映和考核项目实施单位对项目质量和资金运行的控制情况。</w:t>
            </w:r>
          </w:p>
        </w:tc>
        <w:tc>
          <w:tcPr>
            <w:tcW w:w="4111" w:type="dxa"/>
            <w:shd w:val="clear" w:color="auto" w:fill="auto"/>
            <w:vAlign w:val="center"/>
          </w:tcPr>
          <w:p>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hint="eastAsia" w:cs="Times New Roman"/>
                <w:color w:val="000000"/>
                <w:sz w:val="20"/>
                <w:szCs w:val="20"/>
              </w:rPr>
              <w:t>.已制定或具有相应的项目质量要求或标准以及相应的财务监控机制（</w:t>
            </w:r>
            <w:r>
              <w:rPr>
                <w:rFonts w:ascii="Times New Roman" w:hAnsi="Times New Roman" w:cs="Times New Roman"/>
                <w:color w:val="000000"/>
                <w:sz w:val="20"/>
                <w:szCs w:val="20"/>
              </w:rPr>
              <w:t>2</w:t>
            </w:r>
            <w:r>
              <w:rPr>
                <w:rFonts w:hint="eastAsia" w:cs="Times New Roman"/>
                <w:color w:val="000000"/>
                <w:sz w:val="20"/>
                <w:szCs w:val="20"/>
              </w:rPr>
              <w:t>分）；</w:t>
            </w:r>
            <w:r>
              <w:rPr>
                <w:rFonts w:ascii="Times New Roman" w:hAnsi="Times New Roman" w:cs="Times New Roman"/>
                <w:color w:val="000000"/>
                <w:sz w:val="20"/>
                <w:szCs w:val="20"/>
              </w:rPr>
              <w:t>2</w:t>
            </w:r>
            <w:r>
              <w:rPr>
                <w:rFonts w:hint="eastAsia" w:cs="Times New Roman"/>
                <w:color w:val="000000"/>
                <w:sz w:val="20"/>
                <w:szCs w:val="20"/>
              </w:rPr>
              <w:t>.采取了相应的项目质量检查、监控、督促、验收等必需的控制措施或手段（</w:t>
            </w:r>
            <w:r>
              <w:rPr>
                <w:rFonts w:ascii="Times New Roman" w:hAnsi="Times New Roman" w:cs="Times New Roman"/>
                <w:color w:val="000000"/>
                <w:sz w:val="20"/>
                <w:szCs w:val="20"/>
              </w:rPr>
              <w:t>1</w:t>
            </w:r>
            <w:r>
              <w:rPr>
                <w:rFonts w:hint="eastAsia" w:cs="Times New Roman"/>
                <w:color w:val="000000"/>
                <w:sz w:val="20"/>
                <w:szCs w:val="20"/>
              </w:rPr>
              <w:t>分）；</w:t>
            </w:r>
            <w:r>
              <w:rPr>
                <w:rFonts w:ascii="Times New Roman" w:hAnsi="Times New Roman" w:cs="Times New Roman"/>
                <w:color w:val="000000"/>
                <w:sz w:val="20"/>
                <w:szCs w:val="20"/>
              </w:rPr>
              <w:t>3</w:t>
            </w:r>
            <w:r>
              <w:rPr>
                <w:rFonts w:hint="eastAsia" w:cs="Times New Roman"/>
                <w:color w:val="000000"/>
                <w:sz w:val="20"/>
                <w:szCs w:val="20"/>
              </w:rPr>
              <w:t>.采取了相应的财务检查等必要的监控措施或手段（</w:t>
            </w:r>
            <w:r>
              <w:rPr>
                <w:rFonts w:ascii="Times New Roman" w:hAnsi="Times New Roman" w:cs="Times New Roman"/>
                <w:color w:val="000000"/>
                <w:sz w:val="20"/>
                <w:szCs w:val="20"/>
              </w:rPr>
              <w:t>1</w:t>
            </w:r>
            <w:r>
              <w:rPr>
                <w:rFonts w:hint="eastAsia" w:cs="Times New Roman"/>
                <w:color w:val="000000"/>
                <w:sz w:val="20"/>
                <w:szCs w:val="20"/>
              </w:rPr>
              <w:t>分）。</w:t>
            </w:r>
          </w:p>
        </w:tc>
        <w:tc>
          <w:tcPr>
            <w:tcW w:w="716" w:type="dxa"/>
            <w:shd w:val="clear" w:color="auto" w:fill="auto"/>
            <w:noWrap/>
            <w:vAlign w:val="center"/>
          </w:tcPr>
          <w:p>
            <w:pPr>
              <w:spacing w:line="240" w:lineRule="auto"/>
              <w:jc w:val="center"/>
              <w:rPr>
                <w:color w:val="000000"/>
                <w:sz w:val="20"/>
                <w:szCs w:val="20"/>
              </w:rPr>
            </w:pPr>
            <w:r>
              <w:rPr>
                <w:rFonts w:hint="eastAsia"/>
                <w:color w:val="000000"/>
                <w:sz w:val="20"/>
                <w:szCs w:val="20"/>
              </w:rPr>
              <w:t>4</w:t>
            </w:r>
          </w:p>
        </w:tc>
        <w:tc>
          <w:tcPr>
            <w:tcW w:w="1137" w:type="dxa"/>
            <w:shd w:val="clear" w:color="auto" w:fill="auto"/>
            <w:vAlign w:val="center"/>
          </w:tcPr>
          <w:p>
            <w:pPr>
              <w:spacing w:line="240" w:lineRule="auto"/>
              <w:jc w:val="center"/>
              <w:rPr>
                <w:color w:val="000000"/>
                <w:sz w:val="20"/>
                <w:szCs w:val="20"/>
              </w:rPr>
            </w:pPr>
            <w:r>
              <w:rPr>
                <w:rFonts w:hint="eastAsia"/>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7" w:type="dxa"/>
            <w:vMerge w:val="restart"/>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w:t>
            </w:r>
            <w:r>
              <w:rPr>
                <w:rFonts w:hint="eastAsia" w:cs="Times New Roman"/>
                <w:color w:val="000000"/>
                <w:sz w:val="20"/>
                <w:szCs w:val="20"/>
              </w:rPr>
              <w:t>产出</w:t>
            </w:r>
          </w:p>
        </w:tc>
        <w:tc>
          <w:tcPr>
            <w:tcW w:w="688" w:type="dxa"/>
            <w:vMerge w:val="restart"/>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780" w:type="dxa"/>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C1</w:t>
            </w:r>
            <w:r>
              <w:rPr>
                <w:rFonts w:hint="eastAsia" w:cs="Times New Roman"/>
                <w:color w:val="000000"/>
                <w:sz w:val="20"/>
                <w:szCs w:val="20"/>
              </w:rPr>
              <w:t>产出数量</w:t>
            </w:r>
          </w:p>
        </w:tc>
        <w:tc>
          <w:tcPr>
            <w:tcW w:w="757" w:type="dxa"/>
            <w:shd w:val="clear" w:color="auto" w:fill="auto"/>
            <w:vAlign w:val="center"/>
          </w:tcPr>
          <w:p>
            <w:pPr>
              <w:spacing w:line="240" w:lineRule="auto"/>
              <w:jc w:val="center"/>
              <w:rPr>
                <w:rFonts w:hint="eastAsia" w:ascii="Times New Roman" w:hAnsi="Times New Roman" w:eastAsia="宋体" w:cs="Times New Roman"/>
                <w:color w:val="000000"/>
                <w:sz w:val="20"/>
                <w:szCs w:val="20"/>
                <w:lang w:eastAsia="zh-CN"/>
              </w:rPr>
            </w:pPr>
            <w:r>
              <w:rPr>
                <w:rFonts w:hint="eastAsia" w:ascii="Times New Roman" w:hAnsi="Times New Roman" w:cs="Times New Roman"/>
                <w:color w:val="000000"/>
                <w:sz w:val="20"/>
                <w:szCs w:val="20"/>
                <w:lang w:val="en-US" w:eastAsia="zh-CN"/>
              </w:rPr>
              <w:t>8</w:t>
            </w:r>
          </w:p>
        </w:tc>
        <w:tc>
          <w:tcPr>
            <w:tcW w:w="1136" w:type="dxa"/>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C11</w:t>
            </w:r>
            <w:r>
              <w:rPr>
                <w:rFonts w:hint="eastAsia" w:cs="Times New Roman"/>
                <w:color w:val="000000"/>
                <w:sz w:val="20"/>
                <w:szCs w:val="20"/>
              </w:rPr>
              <w:t>工程</w:t>
            </w:r>
            <w:r>
              <w:rPr>
                <w:rFonts w:hint="eastAsia" w:cs="Times New Roman"/>
                <w:color w:val="000000"/>
                <w:sz w:val="20"/>
                <w:szCs w:val="20"/>
                <w:lang w:val="en-US" w:eastAsia="zh-CN"/>
              </w:rPr>
              <w:t>建设</w:t>
            </w:r>
            <w:r>
              <w:rPr>
                <w:rFonts w:hint="eastAsia" w:cs="Times New Roman"/>
                <w:color w:val="000000"/>
                <w:sz w:val="20"/>
                <w:szCs w:val="20"/>
              </w:rPr>
              <w:t>完成率</w:t>
            </w:r>
          </w:p>
        </w:tc>
        <w:tc>
          <w:tcPr>
            <w:tcW w:w="775" w:type="dxa"/>
            <w:shd w:val="clear" w:color="auto" w:fill="auto"/>
            <w:noWrap/>
            <w:vAlign w:val="center"/>
          </w:tcPr>
          <w:p>
            <w:pPr>
              <w:spacing w:line="240" w:lineRule="auto"/>
              <w:jc w:val="center"/>
              <w:rPr>
                <w:rFonts w:hint="eastAsia" w:ascii="Times New Roman" w:hAnsi="Times New Roman" w:eastAsia="宋体" w:cs="Times New Roman"/>
                <w:color w:val="000000"/>
                <w:sz w:val="20"/>
                <w:szCs w:val="20"/>
                <w:lang w:eastAsia="zh-CN"/>
              </w:rPr>
            </w:pPr>
            <w:r>
              <w:rPr>
                <w:rFonts w:hint="eastAsia" w:ascii="Times New Roman" w:hAnsi="Times New Roman" w:cs="Times New Roman"/>
                <w:color w:val="000000"/>
                <w:sz w:val="20"/>
                <w:szCs w:val="20"/>
                <w:lang w:val="en-US" w:eastAsia="zh-CN"/>
              </w:rPr>
              <w:t>8</w:t>
            </w:r>
          </w:p>
        </w:tc>
        <w:tc>
          <w:tcPr>
            <w:tcW w:w="3305" w:type="dxa"/>
            <w:shd w:val="clear" w:color="auto" w:fill="auto"/>
            <w:vAlign w:val="center"/>
          </w:tcPr>
          <w:p>
            <w:pPr>
              <w:spacing w:line="240" w:lineRule="auto"/>
              <w:rPr>
                <w:color w:val="000000"/>
                <w:sz w:val="20"/>
                <w:szCs w:val="20"/>
              </w:rPr>
            </w:pPr>
            <w:r>
              <w:rPr>
                <w:rFonts w:hint="eastAsia"/>
                <w:color w:val="000000"/>
                <w:sz w:val="20"/>
                <w:szCs w:val="20"/>
              </w:rPr>
              <w:t>项目实施的实际产出数与计划产出数的比率，用以反映和考核项目产出数量目标的实现程度。工程</w:t>
            </w:r>
            <w:r>
              <w:rPr>
                <w:rFonts w:hint="eastAsia"/>
                <w:color w:val="000000"/>
                <w:sz w:val="20"/>
                <w:szCs w:val="20"/>
                <w:lang w:val="en-US" w:eastAsia="zh-CN"/>
              </w:rPr>
              <w:t>建设</w:t>
            </w:r>
            <w:r>
              <w:rPr>
                <w:rFonts w:hint="eastAsia"/>
                <w:color w:val="000000"/>
                <w:sz w:val="20"/>
                <w:szCs w:val="20"/>
              </w:rPr>
              <w:t>完成率=（实际建设数量/计划建设数量）×</w:t>
            </w:r>
            <w:r>
              <w:rPr>
                <w:rFonts w:ascii="Times New Roman" w:hAnsi="Times New Roman" w:cs="Times New Roman"/>
                <w:color w:val="000000"/>
                <w:sz w:val="20"/>
                <w:szCs w:val="20"/>
              </w:rPr>
              <w:t>100</w:t>
            </w:r>
            <w:r>
              <w:rPr>
                <w:rFonts w:hint="eastAsia"/>
                <w:color w:val="000000"/>
                <w:sz w:val="20"/>
                <w:szCs w:val="20"/>
              </w:rPr>
              <w:t>%，</w:t>
            </w:r>
            <w:r>
              <w:rPr>
                <w:rFonts w:hint="eastAsia" w:cs="仿宋"/>
                <w:color w:val="000000"/>
                <w:sz w:val="20"/>
                <w:szCs w:val="20"/>
                <w:lang w:bidi="ar"/>
              </w:rPr>
              <w:t>用以考核产出数量绩效目标完成情况。</w:t>
            </w:r>
          </w:p>
        </w:tc>
        <w:tc>
          <w:tcPr>
            <w:tcW w:w="4111" w:type="dxa"/>
            <w:shd w:val="clear" w:color="auto" w:fill="auto"/>
            <w:vAlign w:val="center"/>
          </w:tcPr>
          <w:p>
            <w:pPr>
              <w:spacing w:line="240" w:lineRule="auto"/>
              <w:rPr>
                <w:color w:val="000000"/>
                <w:sz w:val="20"/>
                <w:szCs w:val="20"/>
              </w:rPr>
            </w:pPr>
            <w:r>
              <w:rPr>
                <w:rFonts w:hint="eastAsia" w:ascii="Times New Roman" w:hAnsi="Times New Roman" w:cs="Times New Roman"/>
                <w:color w:val="000000"/>
                <w:sz w:val="20"/>
                <w:szCs w:val="20"/>
                <w:lang w:bidi="ar"/>
              </w:rPr>
              <w:t>1</w:t>
            </w:r>
            <w:r>
              <w:rPr>
                <w:rFonts w:hint="eastAsia" w:cs="仿宋"/>
                <w:color w:val="000000"/>
                <w:sz w:val="20"/>
                <w:szCs w:val="20"/>
                <w:lang w:bidi="ar"/>
              </w:rPr>
              <w:t>．</w:t>
            </w:r>
            <w:r>
              <w:rPr>
                <w:rFonts w:cs="仿宋"/>
                <w:color w:val="000000"/>
                <w:sz w:val="20"/>
                <w:szCs w:val="20"/>
                <w:lang w:bidi="ar"/>
              </w:rPr>
              <w:t>工程</w:t>
            </w:r>
            <w:r>
              <w:rPr>
                <w:rFonts w:hint="eastAsia" w:cs="仿宋"/>
                <w:color w:val="000000"/>
                <w:sz w:val="20"/>
                <w:szCs w:val="20"/>
                <w:lang w:val="en-US" w:eastAsia="zh-CN" w:bidi="ar"/>
              </w:rPr>
              <w:t>建设完成</w:t>
            </w:r>
            <w:r>
              <w:rPr>
                <w:rFonts w:cs="仿宋"/>
                <w:color w:val="000000"/>
                <w:sz w:val="20"/>
                <w:szCs w:val="20"/>
                <w:lang w:bidi="ar"/>
              </w:rPr>
              <w:t>率</w:t>
            </w:r>
            <w:r>
              <w:rPr>
                <w:rFonts w:hint="eastAsia" w:cs="仿宋"/>
                <w:color w:val="000000"/>
                <w:sz w:val="20"/>
                <w:szCs w:val="20"/>
                <w:lang w:bidi="ar"/>
              </w:rPr>
              <w:t>≥</w:t>
            </w:r>
            <w:r>
              <w:rPr>
                <w:rFonts w:hint="eastAsia" w:ascii="Times New Roman" w:hAnsi="Times New Roman" w:cs="Times New Roman"/>
                <w:color w:val="000000"/>
                <w:sz w:val="20"/>
                <w:szCs w:val="20"/>
                <w:lang w:bidi="ar"/>
              </w:rPr>
              <w:t>100</w:t>
            </w:r>
            <w:r>
              <w:rPr>
                <w:rFonts w:hint="eastAsia" w:cs="仿宋"/>
                <w:color w:val="000000"/>
                <w:sz w:val="20"/>
                <w:szCs w:val="20"/>
                <w:lang w:bidi="ar"/>
              </w:rPr>
              <w:t>%，（</w:t>
            </w:r>
            <w:r>
              <w:rPr>
                <w:rFonts w:hint="eastAsia" w:ascii="Times New Roman" w:hAnsi="Times New Roman" w:cs="Times New Roman"/>
                <w:color w:val="000000"/>
                <w:sz w:val="20"/>
                <w:szCs w:val="20"/>
                <w:lang w:val="en-US" w:eastAsia="zh-CN" w:bidi="ar"/>
              </w:rPr>
              <w:t>8</w:t>
            </w:r>
            <w:r>
              <w:rPr>
                <w:rFonts w:hint="eastAsia" w:cs="仿宋"/>
                <w:color w:val="000000"/>
                <w:sz w:val="20"/>
                <w:szCs w:val="20"/>
                <w:lang w:bidi="ar"/>
              </w:rPr>
              <w:t>分）；2.</w:t>
            </w:r>
            <w:r>
              <w:rPr>
                <w:rFonts w:hint="eastAsia" w:ascii="Times New Roman" w:hAnsi="Times New Roman" w:cs="Times New Roman"/>
                <w:color w:val="000000"/>
                <w:sz w:val="20"/>
                <w:szCs w:val="20"/>
                <w:lang w:bidi="ar"/>
              </w:rPr>
              <w:t>100%</w:t>
            </w:r>
            <w:r>
              <w:rPr>
                <w:rFonts w:hint="eastAsia" w:cs="仿宋"/>
                <w:color w:val="000000"/>
                <w:sz w:val="20"/>
                <w:szCs w:val="20"/>
                <w:lang w:bidi="ar"/>
              </w:rPr>
              <w:t>＞</w:t>
            </w:r>
            <w:r>
              <w:rPr>
                <w:rFonts w:cs="仿宋"/>
                <w:color w:val="000000"/>
                <w:sz w:val="20"/>
                <w:szCs w:val="20"/>
                <w:lang w:bidi="ar"/>
              </w:rPr>
              <w:t>工程</w:t>
            </w:r>
            <w:r>
              <w:rPr>
                <w:rFonts w:hint="eastAsia" w:cs="仿宋"/>
                <w:color w:val="000000"/>
                <w:sz w:val="20"/>
                <w:szCs w:val="20"/>
                <w:lang w:val="en-US" w:eastAsia="zh-CN" w:bidi="ar"/>
              </w:rPr>
              <w:t>建设完成</w:t>
            </w:r>
            <w:r>
              <w:rPr>
                <w:rFonts w:cs="仿宋"/>
                <w:color w:val="000000"/>
                <w:sz w:val="20"/>
                <w:szCs w:val="20"/>
                <w:lang w:bidi="ar"/>
              </w:rPr>
              <w:t>率</w:t>
            </w:r>
            <w:r>
              <w:rPr>
                <w:rFonts w:hint="eastAsia" w:cs="仿宋"/>
                <w:color w:val="000000"/>
                <w:sz w:val="20"/>
                <w:szCs w:val="20"/>
                <w:lang w:bidi="ar"/>
              </w:rPr>
              <w:t>≥</w:t>
            </w:r>
            <w:r>
              <w:rPr>
                <w:rFonts w:hint="eastAsia" w:ascii="Times New Roman" w:hAnsi="Times New Roman" w:cs="Times New Roman"/>
                <w:color w:val="000000"/>
                <w:sz w:val="20"/>
                <w:szCs w:val="20"/>
                <w:lang w:bidi="ar"/>
              </w:rPr>
              <w:t>50</w:t>
            </w:r>
            <w:r>
              <w:rPr>
                <w:rFonts w:hint="eastAsia" w:cs="仿宋"/>
                <w:color w:val="000000"/>
                <w:sz w:val="20"/>
                <w:szCs w:val="20"/>
                <w:lang w:bidi="ar"/>
              </w:rPr>
              <w:t>%，得分=</w:t>
            </w:r>
            <w:r>
              <w:rPr>
                <w:rFonts w:cs="仿宋"/>
                <w:color w:val="000000"/>
                <w:sz w:val="20"/>
                <w:szCs w:val="20"/>
                <w:lang w:bidi="ar"/>
              </w:rPr>
              <w:t>工程</w:t>
            </w:r>
            <w:r>
              <w:rPr>
                <w:rFonts w:hint="eastAsia" w:cs="仿宋"/>
                <w:color w:val="000000"/>
                <w:sz w:val="20"/>
                <w:szCs w:val="20"/>
                <w:lang w:val="en-US" w:eastAsia="zh-CN" w:bidi="ar"/>
              </w:rPr>
              <w:t>建设完成</w:t>
            </w:r>
            <w:r>
              <w:rPr>
                <w:rFonts w:cs="仿宋"/>
                <w:color w:val="000000"/>
                <w:sz w:val="20"/>
                <w:szCs w:val="20"/>
                <w:lang w:bidi="ar"/>
              </w:rPr>
              <w:t>率</w:t>
            </w:r>
            <w:r>
              <w:rPr>
                <w:rFonts w:hint="eastAsia" w:cs="仿宋"/>
                <w:color w:val="000000"/>
                <w:sz w:val="20"/>
                <w:szCs w:val="20"/>
                <w:lang w:bidi="ar"/>
              </w:rPr>
              <w:t>×</w:t>
            </w:r>
            <w:r>
              <w:rPr>
                <w:rFonts w:hint="eastAsia" w:ascii="Times New Roman" w:hAnsi="Times New Roman" w:cs="Times New Roman"/>
                <w:color w:val="000000"/>
                <w:sz w:val="20"/>
                <w:szCs w:val="20"/>
                <w:lang w:val="en-US" w:eastAsia="zh-CN" w:bidi="ar"/>
              </w:rPr>
              <w:t>8</w:t>
            </w:r>
            <w:r>
              <w:rPr>
                <w:rFonts w:hint="eastAsia" w:cs="仿宋"/>
                <w:color w:val="000000"/>
                <w:sz w:val="20"/>
                <w:szCs w:val="20"/>
                <w:lang w:bidi="ar"/>
              </w:rPr>
              <w:t>分；3.</w:t>
            </w:r>
            <w:r>
              <w:rPr>
                <w:rFonts w:cs="仿宋"/>
                <w:color w:val="000000"/>
                <w:sz w:val="20"/>
                <w:szCs w:val="20"/>
                <w:lang w:bidi="ar"/>
              </w:rPr>
              <w:t>工程</w:t>
            </w:r>
            <w:r>
              <w:rPr>
                <w:rFonts w:hint="eastAsia" w:cs="仿宋"/>
                <w:color w:val="000000"/>
                <w:sz w:val="20"/>
                <w:szCs w:val="20"/>
                <w:lang w:val="en-US" w:eastAsia="zh-CN" w:bidi="ar"/>
              </w:rPr>
              <w:t>建设完成</w:t>
            </w:r>
            <w:r>
              <w:rPr>
                <w:rFonts w:cs="仿宋"/>
                <w:color w:val="000000"/>
                <w:sz w:val="20"/>
                <w:szCs w:val="20"/>
                <w:lang w:bidi="ar"/>
              </w:rPr>
              <w:t>率</w:t>
            </w:r>
            <w:r>
              <w:rPr>
                <w:rFonts w:hint="eastAsia" w:cs="仿宋"/>
                <w:color w:val="000000"/>
                <w:sz w:val="20"/>
                <w:szCs w:val="20"/>
                <w:lang w:bidi="ar"/>
              </w:rPr>
              <w:t>＜</w:t>
            </w:r>
            <w:r>
              <w:rPr>
                <w:rFonts w:hint="eastAsia" w:ascii="Times New Roman" w:hAnsi="Times New Roman" w:cs="Times New Roman"/>
                <w:color w:val="000000"/>
                <w:sz w:val="20"/>
                <w:szCs w:val="20"/>
                <w:lang w:bidi="ar"/>
              </w:rPr>
              <w:t>50</w:t>
            </w:r>
            <w:r>
              <w:rPr>
                <w:rFonts w:hint="eastAsia" w:cs="仿宋"/>
                <w:color w:val="000000"/>
                <w:sz w:val="20"/>
                <w:szCs w:val="20"/>
                <w:lang w:bidi="ar"/>
              </w:rPr>
              <w:t>%，（</w:t>
            </w:r>
            <w:r>
              <w:rPr>
                <w:rFonts w:hint="eastAsia" w:ascii="Times New Roman" w:hAnsi="Times New Roman" w:cs="Times New Roman"/>
                <w:color w:val="000000"/>
                <w:sz w:val="20"/>
                <w:szCs w:val="20"/>
                <w:lang w:bidi="ar"/>
              </w:rPr>
              <w:t>0</w:t>
            </w:r>
            <w:r>
              <w:rPr>
                <w:rFonts w:hint="eastAsia" w:cs="仿宋"/>
                <w:color w:val="000000"/>
                <w:sz w:val="20"/>
                <w:szCs w:val="20"/>
                <w:lang w:bidi="ar"/>
              </w:rPr>
              <w:t>分）。</w:t>
            </w:r>
          </w:p>
        </w:tc>
        <w:tc>
          <w:tcPr>
            <w:tcW w:w="716" w:type="dxa"/>
            <w:shd w:val="clear" w:color="auto" w:fill="auto"/>
            <w:noWrap/>
            <w:vAlign w:val="center"/>
          </w:tcPr>
          <w:p>
            <w:pPr>
              <w:spacing w:line="240" w:lineRule="auto"/>
              <w:jc w:val="center"/>
              <w:rPr>
                <w:rFonts w:hint="eastAsia" w:eastAsia="宋体"/>
                <w:color w:val="000000"/>
                <w:sz w:val="20"/>
                <w:szCs w:val="20"/>
                <w:lang w:eastAsia="zh-CN"/>
              </w:rPr>
            </w:pPr>
            <w:r>
              <w:rPr>
                <w:rFonts w:hint="eastAsia"/>
                <w:color w:val="000000"/>
                <w:sz w:val="20"/>
                <w:szCs w:val="20"/>
                <w:lang w:val="en-US" w:eastAsia="zh-CN"/>
              </w:rPr>
              <w:t>8</w:t>
            </w:r>
          </w:p>
        </w:tc>
        <w:tc>
          <w:tcPr>
            <w:tcW w:w="1137" w:type="dxa"/>
            <w:shd w:val="clear" w:color="auto" w:fill="auto"/>
            <w:vAlign w:val="center"/>
          </w:tcPr>
          <w:p>
            <w:pPr>
              <w:spacing w:line="240" w:lineRule="auto"/>
              <w:jc w:val="center"/>
              <w:rPr>
                <w:color w:val="000000"/>
                <w:sz w:val="20"/>
                <w:szCs w:val="20"/>
              </w:rPr>
            </w:pPr>
            <w:r>
              <w:rPr>
                <w:rFonts w:hint="eastAsia"/>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7" w:type="dxa"/>
            <w:vMerge w:val="continue"/>
            <w:vAlign w:val="center"/>
          </w:tcPr>
          <w:p>
            <w:pPr>
              <w:spacing w:line="240" w:lineRule="auto"/>
              <w:jc w:val="left"/>
              <w:rPr>
                <w:rFonts w:ascii="Times New Roman" w:hAnsi="Times New Roman" w:cs="Times New Roman"/>
                <w:color w:val="000000"/>
                <w:sz w:val="20"/>
                <w:szCs w:val="20"/>
              </w:rPr>
            </w:pPr>
          </w:p>
        </w:tc>
        <w:tc>
          <w:tcPr>
            <w:tcW w:w="688" w:type="dxa"/>
            <w:vMerge w:val="continue"/>
            <w:vAlign w:val="center"/>
          </w:tcPr>
          <w:p>
            <w:pPr>
              <w:spacing w:line="240" w:lineRule="auto"/>
              <w:jc w:val="left"/>
              <w:rPr>
                <w:rFonts w:ascii="Times New Roman" w:hAnsi="Times New Roman" w:cs="Times New Roman"/>
                <w:color w:val="000000"/>
                <w:sz w:val="20"/>
                <w:szCs w:val="20"/>
              </w:rPr>
            </w:pPr>
          </w:p>
        </w:tc>
        <w:tc>
          <w:tcPr>
            <w:tcW w:w="780" w:type="dxa"/>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C2</w:t>
            </w:r>
            <w:r>
              <w:rPr>
                <w:rFonts w:hint="eastAsia" w:cs="Times New Roman"/>
                <w:color w:val="000000"/>
                <w:sz w:val="20"/>
                <w:szCs w:val="20"/>
              </w:rPr>
              <w:t>产出质量</w:t>
            </w:r>
          </w:p>
        </w:tc>
        <w:tc>
          <w:tcPr>
            <w:tcW w:w="757" w:type="dxa"/>
            <w:shd w:val="clear" w:color="auto" w:fill="auto"/>
            <w:vAlign w:val="center"/>
          </w:tcPr>
          <w:p>
            <w:pPr>
              <w:spacing w:line="240" w:lineRule="auto"/>
              <w:jc w:val="center"/>
              <w:rPr>
                <w:rFonts w:hint="eastAsia" w:ascii="Times New Roman" w:hAnsi="Times New Roman" w:eastAsia="宋体" w:cs="Times New Roman"/>
                <w:color w:val="000000"/>
                <w:sz w:val="20"/>
                <w:szCs w:val="20"/>
                <w:lang w:eastAsia="zh-CN"/>
              </w:rPr>
            </w:pPr>
            <w:r>
              <w:rPr>
                <w:rFonts w:hint="eastAsia" w:ascii="Times New Roman" w:hAnsi="Times New Roman" w:cs="Times New Roman"/>
                <w:color w:val="000000"/>
                <w:sz w:val="20"/>
                <w:szCs w:val="20"/>
                <w:lang w:val="en-US" w:eastAsia="zh-CN"/>
              </w:rPr>
              <w:t>7</w:t>
            </w:r>
          </w:p>
        </w:tc>
        <w:tc>
          <w:tcPr>
            <w:tcW w:w="1136" w:type="dxa"/>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C21</w:t>
            </w:r>
            <w:r>
              <w:rPr>
                <w:rFonts w:hint="eastAsia" w:cs="Times New Roman"/>
                <w:color w:val="000000"/>
                <w:sz w:val="20"/>
                <w:szCs w:val="20"/>
                <w:lang w:val="en-US" w:eastAsia="zh-CN"/>
              </w:rPr>
              <w:t>工程</w:t>
            </w:r>
            <w:r>
              <w:rPr>
                <w:rFonts w:hint="eastAsia" w:cs="Times New Roman"/>
                <w:color w:val="000000"/>
                <w:sz w:val="20"/>
                <w:szCs w:val="20"/>
              </w:rPr>
              <w:t>验收合格率</w:t>
            </w:r>
          </w:p>
        </w:tc>
        <w:tc>
          <w:tcPr>
            <w:tcW w:w="775" w:type="dxa"/>
            <w:shd w:val="clear" w:color="auto" w:fill="auto"/>
            <w:noWrap/>
            <w:vAlign w:val="center"/>
          </w:tcPr>
          <w:p>
            <w:pPr>
              <w:spacing w:line="240" w:lineRule="auto"/>
              <w:jc w:val="center"/>
              <w:rPr>
                <w:rFonts w:hint="eastAsia" w:ascii="Times New Roman" w:hAnsi="Times New Roman" w:eastAsia="宋体" w:cs="Times New Roman"/>
                <w:color w:val="000000"/>
                <w:sz w:val="20"/>
                <w:szCs w:val="20"/>
                <w:lang w:eastAsia="zh-CN"/>
              </w:rPr>
            </w:pPr>
            <w:r>
              <w:rPr>
                <w:rFonts w:hint="eastAsia" w:ascii="Times New Roman" w:hAnsi="Times New Roman" w:cs="Times New Roman"/>
                <w:color w:val="000000"/>
                <w:sz w:val="20"/>
                <w:szCs w:val="20"/>
                <w:lang w:val="en-US" w:eastAsia="zh-CN"/>
              </w:rPr>
              <w:t>7</w:t>
            </w:r>
          </w:p>
        </w:tc>
        <w:tc>
          <w:tcPr>
            <w:tcW w:w="3305" w:type="dxa"/>
            <w:shd w:val="clear" w:color="auto" w:fill="auto"/>
            <w:vAlign w:val="center"/>
          </w:tcPr>
          <w:p>
            <w:pPr>
              <w:spacing w:line="240" w:lineRule="auto"/>
              <w:rPr>
                <w:color w:val="000000"/>
                <w:sz w:val="20"/>
                <w:szCs w:val="20"/>
              </w:rPr>
            </w:pPr>
            <w:r>
              <w:rPr>
                <w:rFonts w:hint="eastAsia" w:cs="仿宋"/>
                <w:color w:val="000000"/>
                <w:sz w:val="20"/>
                <w:szCs w:val="20"/>
                <w:lang w:bidi="ar"/>
              </w:rPr>
              <w:t>主要用来考察和评价项目实施单位工程建设完成后，是否经过相关单位验收，工程验收是否全部合格，工程质量是否全部达标。验收合格率=验收合格的产出数量/实际完成数量×</w:t>
            </w:r>
            <w:r>
              <w:rPr>
                <w:rFonts w:ascii="Times New Roman" w:hAnsi="Times New Roman" w:cs="Times New Roman"/>
                <w:color w:val="000000"/>
                <w:sz w:val="20"/>
                <w:szCs w:val="20"/>
                <w:lang w:bidi="ar"/>
              </w:rPr>
              <w:t>100</w:t>
            </w:r>
            <w:r>
              <w:rPr>
                <w:rFonts w:hint="eastAsia" w:cs="仿宋"/>
                <w:color w:val="000000"/>
                <w:sz w:val="20"/>
                <w:szCs w:val="20"/>
                <w:lang w:bidi="ar"/>
              </w:rPr>
              <w:t>%。</w:t>
            </w:r>
          </w:p>
        </w:tc>
        <w:tc>
          <w:tcPr>
            <w:tcW w:w="4111" w:type="dxa"/>
            <w:shd w:val="clear" w:color="auto" w:fill="auto"/>
            <w:vAlign w:val="center"/>
          </w:tcPr>
          <w:p>
            <w:pPr>
              <w:spacing w:line="240" w:lineRule="auto"/>
              <w:rPr>
                <w:color w:val="000000"/>
                <w:sz w:val="20"/>
                <w:szCs w:val="20"/>
              </w:rPr>
            </w:pPr>
            <w:r>
              <w:rPr>
                <w:rFonts w:hint="eastAsia"/>
                <w:color w:val="000000"/>
                <w:sz w:val="20"/>
                <w:szCs w:val="20"/>
              </w:rPr>
              <w:t>得分=</w:t>
            </w:r>
            <w:r>
              <w:rPr>
                <w:rFonts w:hint="eastAsia" w:cs="Times New Roman"/>
                <w:color w:val="000000"/>
                <w:sz w:val="20"/>
                <w:szCs w:val="20"/>
                <w:lang w:val="en-US" w:eastAsia="zh-CN"/>
              </w:rPr>
              <w:t>工程</w:t>
            </w:r>
            <w:r>
              <w:rPr>
                <w:rFonts w:hint="eastAsia"/>
                <w:color w:val="000000"/>
                <w:sz w:val="20"/>
                <w:szCs w:val="20"/>
              </w:rPr>
              <w:t>验收合格率×</w:t>
            </w:r>
            <w:r>
              <w:rPr>
                <w:rFonts w:hint="eastAsia" w:ascii="Times New Roman" w:hAnsi="Times New Roman" w:cs="Times New Roman"/>
                <w:color w:val="000000"/>
                <w:sz w:val="20"/>
                <w:szCs w:val="20"/>
                <w:lang w:val="en-US" w:eastAsia="zh-CN"/>
              </w:rPr>
              <w:t>7</w:t>
            </w:r>
            <w:r>
              <w:rPr>
                <w:rFonts w:hint="eastAsia"/>
                <w:color w:val="000000"/>
                <w:sz w:val="20"/>
                <w:szCs w:val="20"/>
              </w:rPr>
              <w:t>分；不合格不得分。</w:t>
            </w:r>
          </w:p>
        </w:tc>
        <w:tc>
          <w:tcPr>
            <w:tcW w:w="716" w:type="dxa"/>
            <w:shd w:val="clear" w:color="auto" w:fill="auto"/>
            <w:noWrap/>
            <w:vAlign w:val="center"/>
          </w:tcPr>
          <w:p>
            <w:pPr>
              <w:spacing w:line="240" w:lineRule="auto"/>
              <w:jc w:val="center"/>
              <w:rPr>
                <w:rFonts w:hint="eastAsia" w:eastAsia="宋体"/>
                <w:color w:val="000000"/>
                <w:sz w:val="20"/>
                <w:szCs w:val="20"/>
                <w:lang w:eastAsia="zh-CN"/>
              </w:rPr>
            </w:pPr>
            <w:r>
              <w:rPr>
                <w:rFonts w:hint="eastAsia"/>
                <w:color w:val="000000"/>
                <w:sz w:val="20"/>
                <w:szCs w:val="20"/>
                <w:lang w:val="en-US" w:eastAsia="zh-CN"/>
              </w:rPr>
              <w:t>7</w:t>
            </w:r>
          </w:p>
        </w:tc>
        <w:tc>
          <w:tcPr>
            <w:tcW w:w="1137" w:type="dxa"/>
            <w:shd w:val="clear" w:color="auto" w:fill="auto"/>
            <w:vAlign w:val="center"/>
          </w:tcPr>
          <w:p>
            <w:pPr>
              <w:spacing w:line="240" w:lineRule="auto"/>
              <w:jc w:val="center"/>
              <w:rPr>
                <w:color w:val="000000"/>
                <w:sz w:val="20"/>
                <w:szCs w:val="20"/>
              </w:rPr>
            </w:pPr>
            <w:r>
              <w:rPr>
                <w:rFonts w:hint="eastAsia"/>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7" w:type="dxa"/>
            <w:vMerge w:val="continue"/>
            <w:vAlign w:val="center"/>
          </w:tcPr>
          <w:p>
            <w:pPr>
              <w:spacing w:line="240" w:lineRule="auto"/>
              <w:jc w:val="left"/>
              <w:rPr>
                <w:rFonts w:ascii="Times New Roman" w:hAnsi="Times New Roman" w:cs="Times New Roman"/>
                <w:color w:val="000000"/>
                <w:sz w:val="20"/>
                <w:szCs w:val="20"/>
              </w:rPr>
            </w:pPr>
          </w:p>
        </w:tc>
        <w:tc>
          <w:tcPr>
            <w:tcW w:w="688" w:type="dxa"/>
            <w:vMerge w:val="continue"/>
            <w:vAlign w:val="center"/>
          </w:tcPr>
          <w:p>
            <w:pPr>
              <w:spacing w:line="240" w:lineRule="auto"/>
              <w:jc w:val="left"/>
              <w:rPr>
                <w:rFonts w:ascii="Times New Roman" w:hAnsi="Times New Roman" w:cs="Times New Roman"/>
                <w:color w:val="000000"/>
                <w:sz w:val="20"/>
                <w:szCs w:val="20"/>
              </w:rPr>
            </w:pPr>
          </w:p>
        </w:tc>
        <w:tc>
          <w:tcPr>
            <w:tcW w:w="780" w:type="dxa"/>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C3</w:t>
            </w:r>
            <w:r>
              <w:rPr>
                <w:rFonts w:hint="eastAsia" w:cs="Times New Roman"/>
                <w:color w:val="000000"/>
                <w:sz w:val="20"/>
                <w:szCs w:val="20"/>
              </w:rPr>
              <w:t>产出时效</w:t>
            </w:r>
          </w:p>
        </w:tc>
        <w:tc>
          <w:tcPr>
            <w:tcW w:w="757" w:type="dxa"/>
            <w:shd w:val="clear" w:color="auto" w:fill="auto"/>
            <w:vAlign w:val="center"/>
          </w:tcPr>
          <w:p>
            <w:pPr>
              <w:spacing w:line="240" w:lineRule="auto"/>
              <w:jc w:val="center"/>
              <w:rPr>
                <w:rFonts w:hint="eastAsia" w:ascii="Times New Roman" w:hAnsi="Times New Roman" w:eastAsia="宋体" w:cs="Times New Roman"/>
                <w:color w:val="000000"/>
                <w:sz w:val="20"/>
                <w:szCs w:val="20"/>
                <w:lang w:eastAsia="zh-CN"/>
              </w:rPr>
            </w:pPr>
            <w:r>
              <w:rPr>
                <w:rFonts w:hint="eastAsia" w:ascii="Times New Roman" w:hAnsi="Times New Roman" w:cs="Times New Roman"/>
                <w:color w:val="000000"/>
                <w:sz w:val="20"/>
                <w:szCs w:val="20"/>
                <w:lang w:val="en-US" w:eastAsia="zh-CN"/>
              </w:rPr>
              <w:t>6</w:t>
            </w:r>
          </w:p>
        </w:tc>
        <w:tc>
          <w:tcPr>
            <w:tcW w:w="1136" w:type="dxa"/>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C31</w:t>
            </w:r>
            <w:r>
              <w:rPr>
                <w:rFonts w:hint="eastAsia" w:cs="Times New Roman"/>
                <w:color w:val="000000"/>
                <w:sz w:val="20"/>
                <w:szCs w:val="20"/>
                <w:lang w:val="en-US" w:eastAsia="zh-CN"/>
              </w:rPr>
              <w:t>完成</w:t>
            </w:r>
            <w:r>
              <w:rPr>
                <w:rFonts w:hint="eastAsia" w:cs="Times New Roman"/>
                <w:color w:val="000000"/>
                <w:sz w:val="20"/>
                <w:szCs w:val="20"/>
              </w:rPr>
              <w:t>及时率</w:t>
            </w:r>
          </w:p>
        </w:tc>
        <w:tc>
          <w:tcPr>
            <w:tcW w:w="775" w:type="dxa"/>
            <w:shd w:val="clear" w:color="auto" w:fill="auto"/>
            <w:noWrap/>
            <w:vAlign w:val="center"/>
          </w:tcPr>
          <w:p>
            <w:pPr>
              <w:spacing w:line="240" w:lineRule="auto"/>
              <w:jc w:val="center"/>
              <w:rPr>
                <w:rFonts w:hint="eastAsia" w:ascii="Times New Roman" w:hAnsi="Times New Roman" w:eastAsia="宋体" w:cs="Times New Roman"/>
                <w:color w:val="000000"/>
                <w:sz w:val="20"/>
                <w:szCs w:val="20"/>
                <w:lang w:eastAsia="zh-CN"/>
              </w:rPr>
            </w:pPr>
            <w:r>
              <w:rPr>
                <w:rFonts w:hint="eastAsia" w:ascii="Times New Roman" w:hAnsi="Times New Roman" w:cs="Times New Roman"/>
                <w:color w:val="000000"/>
                <w:sz w:val="20"/>
                <w:szCs w:val="20"/>
                <w:lang w:val="en-US" w:eastAsia="zh-CN"/>
              </w:rPr>
              <w:t>6</w:t>
            </w:r>
          </w:p>
        </w:tc>
        <w:tc>
          <w:tcPr>
            <w:tcW w:w="3305" w:type="dxa"/>
            <w:shd w:val="clear" w:color="auto" w:fill="auto"/>
            <w:vAlign w:val="center"/>
          </w:tcPr>
          <w:p>
            <w:pPr>
              <w:spacing w:line="240" w:lineRule="auto"/>
              <w:rPr>
                <w:color w:val="000000"/>
                <w:sz w:val="20"/>
                <w:szCs w:val="20"/>
              </w:rPr>
            </w:pPr>
            <w:r>
              <w:rPr>
                <w:rFonts w:hint="eastAsia" w:cs="仿宋"/>
                <w:color w:val="000000"/>
                <w:sz w:val="20"/>
                <w:szCs w:val="20"/>
                <w:lang w:bidi="ar"/>
              </w:rPr>
              <w:t>项目实际完成时间与计划完成时间的比较，用以反映和考核项目产出时效目标的实现程度。完成及时率=（计划完成时间-实际完成时间）/计划完成时间×</w:t>
            </w:r>
            <w:r>
              <w:rPr>
                <w:rFonts w:ascii="Times New Roman" w:hAnsi="Times New Roman" w:cs="Times New Roman"/>
                <w:color w:val="000000"/>
                <w:sz w:val="20"/>
                <w:szCs w:val="20"/>
                <w:lang w:bidi="ar"/>
              </w:rPr>
              <w:t>100</w:t>
            </w:r>
            <w:r>
              <w:rPr>
                <w:rFonts w:hint="eastAsia" w:cs="仿宋"/>
                <w:color w:val="000000"/>
                <w:sz w:val="20"/>
                <w:szCs w:val="20"/>
                <w:lang w:bidi="ar"/>
              </w:rPr>
              <w:t>%。</w:t>
            </w:r>
          </w:p>
        </w:tc>
        <w:tc>
          <w:tcPr>
            <w:tcW w:w="4111" w:type="dxa"/>
            <w:shd w:val="clear" w:color="auto" w:fill="auto"/>
            <w:vAlign w:val="center"/>
          </w:tcPr>
          <w:p>
            <w:pPr>
              <w:spacing w:line="240" w:lineRule="auto"/>
              <w:rPr>
                <w:color w:val="000000"/>
                <w:sz w:val="20"/>
                <w:szCs w:val="20"/>
              </w:rPr>
            </w:pPr>
            <w:r>
              <w:rPr>
                <w:rFonts w:hint="eastAsia" w:cs="仿宋"/>
                <w:color w:val="000000"/>
                <w:sz w:val="20"/>
                <w:szCs w:val="20"/>
                <w:lang w:bidi="ar"/>
              </w:rPr>
              <w:t>1.在合同约定的时间内完成，得</w:t>
            </w:r>
            <w:r>
              <w:rPr>
                <w:rFonts w:hint="eastAsia" w:ascii="Times New Roman" w:hAnsi="Times New Roman" w:cs="Times New Roman"/>
                <w:color w:val="000000"/>
                <w:sz w:val="20"/>
                <w:szCs w:val="20"/>
                <w:lang w:val="en-US" w:eastAsia="zh-CN" w:bidi="ar"/>
              </w:rPr>
              <w:t>6</w:t>
            </w:r>
            <w:r>
              <w:rPr>
                <w:rFonts w:hint="eastAsia" w:cs="仿宋"/>
                <w:color w:val="000000"/>
                <w:sz w:val="20"/>
                <w:szCs w:val="20"/>
                <w:lang w:bidi="ar"/>
              </w:rPr>
              <w:t>分，超时3个月内完成，扣</w:t>
            </w:r>
            <w:r>
              <w:rPr>
                <w:rFonts w:hint="eastAsia" w:ascii="Times New Roman" w:hAnsi="Times New Roman" w:cs="Times New Roman"/>
                <w:color w:val="000000"/>
                <w:sz w:val="20"/>
                <w:szCs w:val="20"/>
                <w:lang w:val="en-US" w:eastAsia="zh-CN" w:bidi="ar"/>
              </w:rPr>
              <w:t>3</w:t>
            </w:r>
            <w:r>
              <w:rPr>
                <w:rFonts w:hint="eastAsia" w:cs="仿宋"/>
                <w:color w:val="000000"/>
                <w:sz w:val="20"/>
                <w:szCs w:val="20"/>
                <w:lang w:bidi="ar"/>
              </w:rPr>
              <w:t>分，超时三个月以上半年以内，扣</w:t>
            </w:r>
            <w:r>
              <w:rPr>
                <w:rFonts w:hint="eastAsia" w:cs="仿宋"/>
                <w:color w:val="000000"/>
                <w:sz w:val="20"/>
                <w:szCs w:val="20"/>
                <w:lang w:val="en-US" w:eastAsia="zh-CN" w:bidi="ar"/>
              </w:rPr>
              <w:t>6</w:t>
            </w:r>
            <w:r>
              <w:rPr>
                <w:rFonts w:hint="eastAsia" w:cs="仿宋"/>
                <w:color w:val="000000"/>
                <w:sz w:val="20"/>
                <w:szCs w:val="20"/>
                <w:lang w:bidi="ar"/>
              </w:rPr>
              <w:t>分，超时半年以上，不得分；2.不可抗力或经项目主管部门、预算部门批准调整的除外。</w:t>
            </w:r>
          </w:p>
        </w:tc>
        <w:tc>
          <w:tcPr>
            <w:tcW w:w="716" w:type="dxa"/>
            <w:shd w:val="clear" w:color="auto" w:fill="auto"/>
            <w:noWrap/>
            <w:vAlign w:val="center"/>
          </w:tcPr>
          <w:p>
            <w:pPr>
              <w:spacing w:line="240" w:lineRule="auto"/>
              <w:jc w:val="center"/>
              <w:rPr>
                <w:rFonts w:hint="eastAsia" w:eastAsia="宋体"/>
                <w:color w:val="000000"/>
                <w:sz w:val="20"/>
                <w:szCs w:val="20"/>
                <w:lang w:eastAsia="zh-CN"/>
              </w:rPr>
            </w:pPr>
            <w:r>
              <w:rPr>
                <w:rFonts w:hint="eastAsia"/>
                <w:color w:val="000000"/>
                <w:sz w:val="20"/>
                <w:szCs w:val="20"/>
                <w:lang w:val="en-US" w:eastAsia="zh-CN"/>
              </w:rPr>
              <w:t>6</w:t>
            </w:r>
          </w:p>
        </w:tc>
        <w:tc>
          <w:tcPr>
            <w:tcW w:w="1137" w:type="dxa"/>
            <w:shd w:val="clear" w:color="auto" w:fill="auto"/>
            <w:vAlign w:val="center"/>
          </w:tcPr>
          <w:p>
            <w:pPr>
              <w:spacing w:line="240" w:lineRule="auto"/>
              <w:jc w:val="center"/>
              <w:rPr>
                <w:color w:val="000000"/>
                <w:sz w:val="20"/>
                <w:szCs w:val="20"/>
              </w:rPr>
            </w:pPr>
            <w:r>
              <w:rPr>
                <w:rFonts w:hint="eastAsia"/>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7" w:type="dxa"/>
            <w:vMerge w:val="continue"/>
            <w:vAlign w:val="center"/>
          </w:tcPr>
          <w:p>
            <w:pPr>
              <w:spacing w:line="240" w:lineRule="auto"/>
              <w:jc w:val="left"/>
              <w:rPr>
                <w:rFonts w:ascii="Times New Roman" w:hAnsi="Times New Roman" w:cs="Times New Roman"/>
                <w:color w:val="000000"/>
                <w:sz w:val="20"/>
                <w:szCs w:val="20"/>
              </w:rPr>
            </w:pPr>
          </w:p>
        </w:tc>
        <w:tc>
          <w:tcPr>
            <w:tcW w:w="688" w:type="dxa"/>
            <w:vMerge w:val="continue"/>
            <w:vAlign w:val="center"/>
          </w:tcPr>
          <w:p>
            <w:pPr>
              <w:spacing w:line="240" w:lineRule="auto"/>
              <w:jc w:val="left"/>
              <w:rPr>
                <w:rFonts w:ascii="Times New Roman" w:hAnsi="Times New Roman" w:cs="Times New Roman"/>
                <w:color w:val="000000"/>
                <w:sz w:val="20"/>
                <w:szCs w:val="20"/>
              </w:rPr>
            </w:pPr>
          </w:p>
        </w:tc>
        <w:tc>
          <w:tcPr>
            <w:tcW w:w="780" w:type="dxa"/>
            <w:vMerge w:val="restart"/>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C4</w:t>
            </w:r>
            <w:r>
              <w:rPr>
                <w:rFonts w:hint="eastAsia" w:cs="Times New Roman"/>
                <w:color w:val="000000"/>
                <w:sz w:val="20"/>
                <w:szCs w:val="20"/>
              </w:rPr>
              <w:t>产出成本</w:t>
            </w:r>
          </w:p>
        </w:tc>
        <w:tc>
          <w:tcPr>
            <w:tcW w:w="757" w:type="dxa"/>
            <w:vMerge w:val="restart"/>
            <w:shd w:val="clear" w:color="auto" w:fill="auto"/>
            <w:vAlign w:val="center"/>
          </w:tcPr>
          <w:p>
            <w:pPr>
              <w:spacing w:line="240" w:lineRule="auto"/>
              <w:jc w:val="center"/>
              <w:rPr>
                <w:rFonts w:hint="eastAsia" w:ascii="Times New Roman" w:hAnsi="Times New Roman" w:eastAsia="宋体" w:cs="Times New Roman"/>
                <w:color w:val="000000"/>
                <w:sz w:val="20"/>
                <w:szCs w:val="20"/>
                <w:lang w:eastAsia="zh-CN"/>
              </w:rPr>
            </w:pPr>
            <w:r>
              <w:rPr>
                <w:rFonts w:hint="eastAsia" w:ascii="Times New Roman" w:hAnsi="Times New Roman" w:cs="Times New Roman"/>
                <w:color w:val="000000"/>
                <w:sz w:val="20"/>
                <w:szCs w:val="20"/>
                <w:lang w:val="en-US" w:eastAsia="zh-CN"/>
              </w:rPr>
              <w:t>9</w:t>
            </w:r>
          </w:p>
        </w:tc>
        <w:tc>
          <w:tcPr>
            <w:tcW w:w="1136" w:type="dxa"/>
            <w:shd w:val="clear" w:color="auto" w:fill="auto"/>
            <w:vAlign w:val="center"/>
          </w:tcPr>
          <w:p>
            <w:pPr>
              <w:spacing w:line="240" w:lineRule="auto"/>
              <w:jc w:val="center"/>
              <w:rPr>
                <w:rFonts w:hint="default" w:ascii="Times New Roman" w:hAnsi="Times New Roman" w:eastAsia="宋体" w:cs="Times New Roman"/>
                <w:color w:val="000000"/>
                <w:sz w:val="20"/>
                <w:szCs w:val="20"/>
                <w:lang w:val="en-US" w:eastAsia="zh-CN"/>
              </w:rPr>
            </w:pPr>
            <w:r>
              <w:rPr>
                <w:rFonts w:ascii="Times New Roman" w:hAnsi="Times New Roman" w:cs="Times New Roman"/>
                <w:color w:val="000000"/>
                <w:sz w:val="20"/>
                <w:szCs w:val="20"/>
              </w:rPr>
              <w:t>C41</w:t>
            </w:r>
            <w:r>
              <w:rPr>
                <w:rFonts w:hint="eastAsia" w:ascii="Times New Roman" w:hAnsi="Times New Roman" w:cs="Times New Roman"/>
                <w:color w:val="000000"/>
                <w:sz w:val="20"/>
                <w:szCs w:val="20"/>
                <w:lang w:val="en-US" w:eastAsia="zh-CN"/>
              </w:rPr>
              <w:t>道路补助标准</w:t>
            </w:r>
          </w:p>
        </w:tc>
        <w:tc>
          <w:tcPr>
            <w:tcW w:w="775" w:type="dxa"/>
            <w:shd w:val="clear" w:color="auto" w:fill="auto"/>
            <w:noWrap/>
            <w:vAlign w:val="center"/>
          </w:tcPr>
          <w:p>
            <w:pPr>
              <w:spacing w:line="240" w:lineRule="auto"/>
              <w:jc w:val="center"/>
              <w:rPr>
                <w:rFonts w:hint="eastAsia" w:ascii="Times New Roman" w:hAnsi="Times New Roman" w:eastAsia="宋体" w:cs="Times New Roman"/>
                <w:color w:val="000000"/>
                <w:sz w:val="20"/>
                <w:szCs w:val="20"/>
                <w:lang w:val="en-US" w:eastAsia="zh-CN"/>
              </w:rPr>
            </w:pPr>
            <w:r>
              <w:rPr>
                <w:rFonts w:hint="eastAsia" w:ascii="Times New Roman" w:hAnsi="Times New Roman" w:cs="Times New Roman"/>
                <w:color w:val="000000"/>
                <w:sz w:val="20"/>
                <w:szCs w:val="20"/>
                <w:lang w:val="en-US" w:eastAsia="zh-CN"/>
              </w:rPr>
              <w:t>5</w:t>
            </w:r>
          </w:p>
        </w:tc>
        <w:tc>
          <w:tcPr>
            <w:tcW w:w="3305" w:type="dxa"/>
            <w:shd w:val="clear" w:color="auto" w:fill="auto"/>
            <w:vAlign w:val="center"/>
          </w:tcPr>
          <w:p>
            <w:pPr>
              <w:spacing w:line="240" w:lineRule="auto"/>
              <w:rPr>
                <w:rFonts w:hint="eastAsia"/>
                <w:color w:val="000000"/>
                <w:sz w:val="20"/>
                <w:szCs w:val="20"/>
              </w:rPr>
            </w:pPr>
            <w:r>
              <w:rPr>
                <w:rFonts w:hint="eastAsia"/>
                <w:color w:val="000000"/>
                <w:sz w:val="20"/>
                <w:szCs w:val="20"/>
              </w:rPr>
              <w:t>主要</w:t>
            </w:r>
            <w:r>
              <w:rPr>
                <w:rFonts w:hint="eastAsia"/>
                <w:color w:val="000000"/>
                <w:sz w:val="20"/>
                <w:szCs w:val="20"/>
                <w:lang w:val="en-US" w:eastAsia="zh-CN"/>
              </w:rPr>
              <w:t>考察项目实际补贴是否符合规定标准，用以考核绩效目标的成本情况</w:t>
            </w:r>
            <w:r>
              <w:rPr>
                <w:rFonts w:hint="eastAsia"/>
                <w:color w:val="000000"/>
                <w:sz w:val="20"/>
                <w:szCs w:val="20"/>
              </w:rPr>
              <w:t>。</w:t>
            </w:r>
          </w:p>
        </w:tc>
        <w:tc>
          <w:tcPr>
            <w:tcW w:w="4111" w:type="dxa"/>
            <w:shd w:val="clear" w:color="auto" w:fill="auto"/>
            <w:vAlign w:val="center"/>
          </w:tcPr>
          <w:p>
            <w:pPr>
              <w:spacing w:line="240" w:lineRule="auto"/>
              <w:rPr>
                <w:rFonts w:hint="default"/>
                <w:color w:val="000000"/>
                <w:sz w:val="20"/>
                <w:szCs w:val="20"/>
                <w:lang w:val="en-US"/>
              </w:rPr>
            </w:pPr>
            <w:r>
              <w:rPr>
                <w:rFonts w:hint="eastAsia"/>
                <w:color w:val="000000"/>
                <w:sz w:val="20"/>
                <w:szCs w:val="20"/>
                <w:lang w:val="en-US" w:eastAsia="zh-CN"/>
              </w:rPr>
              <w:t>道路补助标准达到</w:t>
            </w:r>
            <w:r>
              <w:rPr>
                <w:rFonts w:hint="eastAsia" w:ascii="Times New Roman" w:hAnsi="Times New Roman" w:cs="Times New Roman"/>
                <w:color w:val="000000"/>
                <w:sz w:val="20"/>
                <w:szCs w:val="20"/>
                <w:lang w:val="en-US" w:eastAsia="zh-CN" w:bidi="ar"/>
              </w:rPr>
              <w:t>31.1</w:t>
            </w:r>
            <w:r>
              <w:rPr>
                <w:rFonts w:hint="eastAsia"/>
                <w:color w:val="000000"/>
                <w:sz w:val="20"/>
                <w:szCs w:val="20"/>
                <w:lang w:val="en-US" w:eastAsia="zh-CN"/>
              </w:rPr>
              <w:t>万元/公里，得5分；未达到补助标准，不得分。</w:t>
            </w:r>
          </w:p>
        </w:tc>
        <w:tc>
          <w:tcPr>
            <w:tcW w:w="716" w:type="dxa"/>
            <w:shd w:val="clear" w:color="auto" w:fill="auto"/>
            <w:noWrap/>
            <w:vAlign w:val="center"/>
          </w:tcPr>
          <w:p>
            <w:pPr>
              <w:spacing w:line="240" w:lineRule="auto"/>
              <w:jc w:val="center"/>
              <w:rPr>
                <w:rFonts w:hint="eastAsia" w:eastAsia="宋体"/>
                <w:color w:val="000000"/>
                <w:sz w:val="20"/>
                <w:szCs w:val="20"/>
                <w:lang w:val="en-US" w:eastAsia="zh-CN"/>
              </w:rPr>
            </w:pPr>
            <w:r>
              <w:rPr>
                <w:rFonts w:hint="eastAsia"/>
                <w:color w:val="000000"/>
                <w:sz w:val="20"/>
                <w:szCs w:val="20"/>
                <w:lang w:val="en-US" w:eastAsia="zh-CN"/>
              </w:rPr>
              <w:t>5</w:t>
            </w:r>
          </w:p>
        </w:tc>
        <w:tc>
          <w:tcPr>
            <w:tcW w:w="1137" w:type="dxa"/>
            <w:shd w:val="clear" w:color="auto" w:fill="auto"/>
            <w:vAlign w:val="center"/>
          </w:tcPr>
          <w:p>
            <w:pPr>
              <w:spacing w:line="240" w:lineRule="auto"/>
              <w:jc w:val="center"/>
              <w:rPr>
                <w:rFonts w:hint="eastAsia"/>
                <w:color w:val="000000"/>
                <w:sz w:val="20"/>
                <w:szCs w:val="20"/>
              </w:rPr>
            </w:pPr>
            <w:r>
              <w:rPr>
                <w:rFonts w:hint="eastAsia"/>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7" w:type="dxa"/>
            <w:vMerge w:val="continue"/>
            <w:vAlign w:val="center"/>
          </w:tcPr>
          <w:p>
            <w:pPr>
              <w:spacing w:line="240" w:lineRule="auto"/>
              <w:jc w:val="left"/>
              <w:rPr>
                <w:rFonts w:ascii="Times New Roman" w:hAnsi="Times New Roman" w:cs="Times New Roman"/>
                <w:color w:val="000000"/>
                <w:sz w:val="20"/>
                <w:szCs w:val="20"/>
              </w:rPr>
            </w:pPr>
          </w:p>
        </w:tc>
        <w:tc>
          <w:tcPr>
            <w:tcW w:w="688" w:type="dxa"/>
            <w:vMerge w:val="continue"/>
            <w:vAlign w:val="center"/>
          </w:tcPr>
          <w:p>
            <w:pPr>
              <w:spacing w:line="240" w:lineRule="auto"/>
              <w:jc w:val="left"/>
              <w:rPr>
                <w:rFonts w:ascii="Times New Roman" w:hAnsi="Times New Roman" w:cs="Times New Roman"/>
                <w:color w:val="000000"/>
                <w:sz w:val="20"/>
                <w:szCs w:val="20"/>
              </w:rPr>
            </w:pPr>
          </w:p>
        </w:tc>
        <w:tc>
          <w:tcPr>
            <w:tcW w:w="780" w:type="dxa"/>
            <w:vMerge w:val="continue"/>
            <w:shd w:val="clear" w:color="auto" w:fill="auto"/>
            <w:vAlign w:val="center"/>
          </w:tcPr>
          <w:p>
            <w:pPr>
              <w:spacing w:line="240" w:lineRule="auto"/>
              <w:jc w:val="center"/>
              <w:rPr>
                <w:rFonts w:ascii="Times New Roman" w:hAnsi="Times New Roman" w:cs="Times New Roman"/>
                <w:color w:val="000000"/>
                <w:sz w:val="20"/>
                <w:szCs w:val="20"/>
              </w:rPr>
            </w:pPr>
          </w:p>
        </w:tc>
        <w:tc>
          <w:tcPr>
            <w:tcW w:w="757" w:type="dxa"/>
            <w:vMerge w:val="continue"/>
            <w:shd w:val="clear" w:color="auto" w:fill="auto"/>
            <w:vAlign w:val="center"/>
          </w:tcPr>
          <w:p>
            <w:pPr>
              <w:spacing w:line="240" w:lineRule="auto"/>
              <w:jc w:val="center"/>
              <w:rPr>
                <w:rFonts w:ascii="Times New Roman" w:hAnsi="Times New Roman" w:cs="Times New Roman"/>
                <w:color w:val="000000"/>
                <w:sz w:val="20"/>
                <w:szCs w:val="20"/>
              </w:rPr>
            </w:pPr>
          </w:p>
        </w:tc>
        <w:tc>
          <w:tcPr>
            <w:tcW w:w="1136" w:type="dxa"/>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C4</w:t>
            </w:r>
            <w:r>
              <w:rPr>
                <w:rFonts w:hint="eastAsia" w:ascii="Times New Roman" w:hAnsi="Times New Roman" w:cs="Times New Roman"/>
                <w:color w:val="000000"/>
                <w:sz w:val="20"/>
                <w:szCs w:val="20"/>
                <w:lang w:val="en-US" w:eastAsia="zh-CN"/>
              </w:rPr>
              <w:t>2</w:t>
            </w:r>
            <w:r>
              <w:rPr>
                <w:rFonts w:hint="eastAsia" w:cs="Times New Roman"/>
                <w:color w:val="000000"/>
                <w:sz w:val="20"/>
                <w:szCs w:val="20"/>
              </w:rPr>
              <w:t>成本节约率</w:t>
            </w:r>
          </w:p>
        </w:tc>
        <w:tc>
          <w:tcPr>
            <w:tcW w:w="775" w:type="dxa"/>
            <w:shd w:val="clear" w:color="auto" w:fill="auto"/>
            <w:noWrap/>
            <w:vAlign w:val="center"/>
          </w:tcPr>
          <w:p>
            <w:pPr>
              <w:spacing w:line="240" w:lineRule="auto"/>
              <w:jc w:val="center"/>
              <w:rPr>
                <w:rFonts w:hint="eastAsia" w:ascii="Times New Roman" w:hAnsi="Times New Roman" w:eastAsia="宋体" w:cs="Times New Roman"/>
                <w:color w:val="000000"/>
                <w:sz w:val="20"/>
                <w:szCs w:val="20"/>
                <w:lang w:eastAsia="zh-CN"/>
              </w:rPr>
            </w:pPr>
            <w:r>
              <w:rPr>
                <w:rFonts w:hint="eastAsia" w:ascii="Times New Roman" w:hAnsi="Times New Roman" w:cs="Times New Roman"/>
                <w:color w:val="000000"/>
                <w:sz w:val="20"/>
                <w:szCs w:val="20"/>
                <w:lang w:val="en-US" w:eastAsia="zh-CN"/>
              </w:rPr>
              <w:t>4</w:t>
            </w:r>
          </w:p>
        </w:tc>
        <w:tc>
          <w:tcPr>
            <w:tcW w:w="3305" w:type="dxa"/>
            <w:shd w:val="clear" w:color="auto" w:fill="auto"/>
            <w:vAlign w:val="center"/>
          </w:tcPr>
          <w:p>
            <w:pPr>
              <w:spacing w:line="240" w:lineRule="auto"/>
              <w:rPr>
                <w:color w:val="000000"/>
                <w:sz w:val="20"/>
                <w:szCs w:val="20"/>
              </w:rPr>
            </w:pPr>
            <w:r>
              <w:rPr>
                <w:rFonts w:hint="eastAsia" w:cs="仿宋"/>
                <w:color w:val="000000"/>
                <w:sz w:val="20"/>
                <w:szCs w:val="20"/>
                <w:lang w:bidi="ar"/>
              </w:rPr>
              <w:t>完成项目计划工作目标的实际节约成本与计划成本的比率，用以反映和考核项目的成本节约程度。</w:t>
            </w:r>
          </w:p>
        </w:tc>
        <w:tc>
          <w:tcPr>
            <w:tcW w:w="4111" w:type="dxa"/>
            <w:shd w:val="clear" w:color="auto" w:fill="auto"/>
            <w:vAlign w:val="center"/>
          </w:tcPr>
          <w:p>
            <w:pPr>
              <w:spacing w:line="240" w:lineRule="auto"/>
              <w:rPr>
                <w:color w:val="000000"/>
                <w:sz w:val="20"/>
                <w:szCs w:val="20"/>
              </w:rPr>
            </w:pPr>
            <w:r>
              <w:rPr>
                <w:rFonts w:hint="eastAsia"/>
                <w:color w:val="000000"/>
                <w:sz w:val="20"/>
                <w:szCs w:val="20"/>
              </w:rPr>
              <w:t>成本节约率=（计划成本-实际成本）/计划成本×</w:t>
            </w:r>
            <w:r>
              <w:rPr>
                <w:rFonts w:ascii="Times New Roman" w:hAnsi="Times New Roman" w:cs="Times New Roman"/>
                <w:color w:val="000000"/>
                <w:sz w:val="20"/>
                <w:szCs w:val="20"/>
              </w:rPr>
              <w:t>100</w:t>
            </w:r>
            <w:r>
              <w:rPr>
                <w:rFonts w:hint="eastAsia"/>
                <w:color w:val="000000"/>
                <w:sz w:val="20"/>
                <w:szCs w:val="20"/>
              </w:rPr>
              <w:t>%。成本节约率在大于</w:t>
            </w:r>
            <w:r>
              <w:rPr>
                <w:rFonts w:ascii="Times New Roman" w:hAnsi="Times New Roman" w:cs="Times New Roman"/>
                <w:color w:val="000000"/>
                <w:sz w:val="20"/>
                <w:szCs w:val="20"/>
              </w:rPr>
              <w:t>0</w:t>
            </w:r>
            <w:r>
              <w:rPr>
                <w:rFonts w:hint="eastAsia"/>
                <w:color w:val="000000"/>
                <w:sz w:val="20"/>
                <w:szCs w:val="20"/>
              </w:rPr>
              <w:t>%，得</w:t>
            </w:r>
            <w:r>
              <w:rPr>
                <w:rFonts w:hint="eastAsia" w:ascii="Times New Roman" w:hAnsi="Times New Roman" w:cs="Times New Roman"/>
                <w:color w:val="000000"/>
                <w:sz w:val="20"/>
                <w:szCs w:val="20"/>
                <w:lang w:val="en-US" w:eastAsia="zh-CN"/>
              </w:rPr>
              <w:t>4</w:t>
            </w:r>
            <w:r>
              <w:rPr>
                <w:rFonts w:hint="eastAsia"/>
                <w:color w:val="000000"/>
                <w:sz w:val="20"/>
                <w:szCs w:val="20"/>
              </w:rPr>
              <w:t>分，超过区间按照分值和超出范围的比率乘积扣分。</w:t>
            </w:r>
            <w:r>
              <w:rPr>
                <w:rFonts w:hint="eastAsia"/>
                <w:color w:val="000000"/>
                <w:sz w:val="20"/>
                <w:szCs w:val="20"/>
              </w:rPr>
              <w:br w:type="textWrapping"/>
            </w:r>
            <w:r>
              <w:rPr>
                <w:rFonts w:hint="eastAsia"/>
                <w:color w:val="000000"/>
                <w:sz w:val="20"/>
                <w:szCs w:val="20"/>
              </w:rPr>
              <w:t>实际成本：项目建设单位如期、保质、保量完成既定工作目标实际所耗费的支出。</w:t>
            </w:r>
            <w:r>
              <w:rPr>
                <w:rFonts w:hint="eastAsia"/>
                <w:color w:val="000000"/>
                <w:sz w:val="20"/>
                <w:szCs w:val="20"/>
              </w:rPr>
              <w:br w:type="textWrapping"/>
            </w:r>
            <w:r>
              <w:rPr>
                <w:rFonts w:hint="eastAsia"/>
                <w:color w:val="000000"/>
                <w:sz w:val="20"/>
                <w:szCs w:val="20"/>
              </w:rPr>
              <w:t>计划成本：项目建设单位为完成工作目标计划安排的支出。</w:t>
            </w:r>
          </w:p>
        </w:tc>
        <w:tc>
          <w:tcPr>
            <w:tcW w:w="716" w:type="dxa"/>
            <w:shd w:val="clear" w:color="auto" w:fill="auto"/>
            <w:noWrap/>
            <w:vAlign w:val="center"/>
          </w:tcPr>
          <w:p>
            <w:pPr>
              <w:spacing w:line="240" w:lineRule="auto"/>
              <w:jc w:val="center"/>
              <w:rPr>
                <w:rFonts w:hint="eastAsia" w:eastAsia="宋体"/>
                <w:color w:val="000000"/>
                <w:sz w:val="20"/>
                <w:szCs w:val="20"/>
                <w:lang w:eastAsia="zh-CN"/>
              </w:rPr>
            </w:pPr>
            <w:r>
              <w:rPr>
                <w:rFonts w:hint="eastAsia"/>
                <w:color w:val="000000"/>
                <w:sz w:val="20"/>
                <w:szCs w:val="20"/>
                <w:lang w:val="en-US" w:eastAsia="zh-CN"/>
              </w:rPr>
              <w:t>4</w:t>
            </w:r>
          </w:p>
        </w:tc>
        <w:tc>
          <w:tcPr>
            <w:tcW w:w="1137" w:type="dxa"/>
            <w:shd w:val="clear" w:color="auto" w:fill="auto"/>
            <w:vAlign w:val="center"/>
          </w:tcPr>
          <w:p>
            <w:pPr>
              <w:spacing w:line="240" w:lineRule="auto"/>
              <w:jc w:val="center"/>
              <w:rPr>
                <w:color w:val="000000"/>
                <w:sz w:val="20"/>
                <w:szCs w:val="20"/>
              </w:rPr>
            </w:pPr>
            <w:r>
              <w:rPr>
                <w:rFonts w:hint="eastAsia"/>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7" w:type="dxa"/>
            <w:vMerge w:val="restart"/>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w:t>
            </w:r>
            <w:r>
              <w:rPr>
                <w:rFonts w:hint="eastAsia" w:cs="Times New Roman"/>
                <w:color w:val="000000"/>
                <w:sz w:val="20"/>
                <w:szCs w:val="20"/>
              </w:rPr>
              <w:t>效益</w:t>
            </w:r>
          </w:p>
        </w:tc>
        <w:tc>
          <w:tcPr>
            <w:tcW w:w="688" w:type="dxa"/>
            <w:vMerge w:val="restart"/>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780" w:type="dxa"/>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D1</w:t>
            </w:r>
            <w:r>
              <w:rPr>
                <w:rFonts w:hint="eastAsia" w:ascii="Times New Roman" w:hAnsi="Times New Roman" w:cs="Times New Roman"/>
                <w:color w:val="000000"/>
                <w:sz w:val="20"/>
                <w:szCs w:val="20"/>
              </w:rPr>
              <w:t>经济效益</w:t>
            </w:r>
          </w:p>
        </w:tc>
        <w:tc>
          <w:tcPr>
            <w:tcW w:w="757" w:type="dxa"/>
            <w:shd w:val="clear" w:color="auto" w:fill="auto"/>
            <w:vAlign w:val="center"/>
          </w:tcPr>
          <w:p>
            <w:pPr>
              <w:spacing w:line="240" w:lineRule="auto"/>
              <w:jc w:val="center"/>
              <w:rPr>
                <w:rFonts w:hint="eastAsia" w:ascii="Times New Roman" w:hAnsi="Times New Roman" w:eastAsia="宋体" w:cs="Times New Roman"/>
                <w:color w:val="000000"/>
                <w:sz w:val="20"/>
                <w:szCs w:val="20"/>
                <w:lang w:eastAsia="zh-CN"/>
              </w:rPr>
            </w:pPr>
            <w:r>
              <w:rPr>
                <w:rFonts w:hint="eastAsia" w:ascii="Times New Roman" w:hAnsi="Times New Roman" w:cs="Times New Roman"/>
                <w:color w:val="000000"/>
                <w:sz w:val="20"/>
                <w:szCs w:val="20"/>
                <w:lang w:val="en-US" w:eastAsia="zh-CN"/>
              </w:rPr>
              <w:t>5</w:t>
            </w:r>
          </w:p>
        </w:tc>
        <w:tc>
          <w:tcPr>
            <w:tcW w:w="1136" w:type="dxa"/>
            <w:shd w:val="clear" w:color="auto" w:fill="auto"/>
            <w:vAlign w:val="center"/>
          </w:tcPr>
          <w:p>
            <w:pPr>
              <w:spacing w:line="240" w:lineRule="auto"/>
              <w:jc w:val="center"/>
              <w:rPr>
                <w:rFonts w:hint="default" w:ascii="Times New Roman" w:hAnsi="Times New Roman" w:eastAsia="宋体" w:cs="Times New Roman"/>
                <w:color w:val="000000"/>
                <w:sz w:val="20"/>
                <w:szCs w:val="20"/>
                <w:lang w:val="en-US" w:eastAsia="zh-CN"/>
              </w:rPr>
            </w:pPr>
            <w:r>
              <w:rPr>
                <w:rFonts w:ascii="Times New Roman" w:hAnsi="Times New Roman" w:cs="Times New Roman"/>
                <w:color w:val="000000"/>
                <w:sz w:val="20"/>
                <w:szCs w:val="20"/>
              </w:rPr>
              <w:t>D11</w:t>
            </w:r>
            <w:r>
              <w:rPr>
                <w:rFonts w:hint="eastAsia" w:cs="Times New Roman"/>
                <w:color w:val="000000"/>
                <w:sz w:val="20"/>
                <w:szCs w:val="20"/>
                <w:lang w:val="en-US" w:eastAsia="zh-CN"/>
              </w:rPr>
              <w:t>带动地方经济发展</w:t>
            </w:r>
          </w:p>
        </w:tc>
        <w:tc>
          <w:tcPr>
            <w:tcW w:w="775" w:type="dxa"/>
            <w:shd w:val="clear" w:color="auto" w:fill="auto"/>
            <w:noWrap/>
            <w:vAlign w:val="center"/>
          </w:tcPr>
          <w:p>
            <w:pPr>
              <w:spacing w:line="240" w:lineRule="auto"/>
              <w:jc w:val="center"/>
              <w:rPr>
                <w:rFonts w:hint="eastAsia" w:ascii="Times New Roman" w:hAnsi="Times New Roman" w:eastAsia="宋体" w:cs="Times New Roman"/>
                <w:color w:val="000000"/>
                <w:sz w:val="20"/>
                <w:szCs w:val="20"/>
                <w:lang w:eastAsia="zh-CN"/>
              </w:rPr>
            </w:pPr>
            <w:r>
              <w:rPr>
                <w:rFonts w:hint="eastAsia" w:ascii="Times New Roman" w:hAnsi="Times New Roman" w:cs="Times New Roman"/>
                <w:color w:val="000000"/>
                <w:sz w:val="20"/>
                <w:szCs w:val="20"/>
                <w:lang w:val="en-US" w:eastAsia="zh-CN"/>
              </w:rPr>
              <w:t>5</w:t>
            </w:r>
          </w:p>
        </w:tc>
        <w:tc>
          <w:tcPr>
            <w:tcW w:w="3305" w:type="dxa"/>
            <w:shd w:val="clear" w:color="auto" w:fill="auto"/>
            <w:vAlign w:val="center"/>
          </w:tcPr>
          <w:p>
            <w:pPr>
              <w:spacing w:line="240" w:lineRule="auto"/>
              <w:rPr>
                <w:color w:val="000000"/>
                <w:sz w:val="20"/>
                <w:szCs w:val="20"/>
              </w:rPr>
            </w:pPr>
            <w:r>
              <w:rPr>
                <w:rFonts w:hint="eastAsia" w:cs="仿宋"/>
                <w:color w:val="000000"/>
                <w:sz w:val="20"/>
                <w:szCs w:val="20"/>
                <w:lang w:bidi="ar"/>
              </w:rPr>
              <w:t>主要</w:t>
            </w:r>
            <w:r>
              <w:rPr>
                <w:rFonts w:hint="eastAsia" w:cs="仿宋"/>
                <w:color w:val="000000"/>
                <w:sz w:val="20"/>
                <w:szCs w:val="20"/>
                <w:lang w:val="en-US" w:eastAsia="zh-CN" w:bidi="ar"/>
              </w:rPr>
              <w:t>考察项目</w:t>
            </w:r>
            <w:r>
              <w:rPr>
                <w:rFonts w:hint="eastAsia" w:cs="仿宋"/>
                <w:color w:val="000000"/>
                <w:sz w:val="20"/>
                <w:szCs w:val="20"/>
                <w:lang w:bidi="ar"/>
              </w:rPr>
              <w:t>实施后</w:t>
            </w:r>
            <w:r>
              <w:rPr>
                <w:rFonts w:hint="eastAsia" w:cs="仿宋"/>
                <w:color w:val="000000"/>
                <w:sz w:val="20"/>
                <w:szCs w:val="20"/>
                <w:lang w:val="en-US" w:eastAsia="zh-CN" w:bidi="ar"/>
              </w:rPr>
              <w:t>是否对地方经济发展有积极作用</w:t>
            </w:r>
            <w:r>
              <w:rPr>
                <w:rFonts w:hint="eastAsia" w:cs="仿宋"/>
                <w:color w:val="000000"/>
                <w:sz w:val="20"/>
                <w:szCs w:val="20"/>
                <w:lang w:bidi="ar"/>
              </w:rPr>
              <w:t>，用以反映和考核总体经济效益目标完成情况。</w:t>
            </w:r>
          </w:p>
        </w:tc>
        <w:tc>
          <w:tcPr>
            <w:tcW w:w="4111" w:type="dxa"/>
            <w:shd w:val="clear" w:color="auto" w:fill="auto"/>
            <w:vAlign w:val="center"/>
          </w:tcPr>
          <w:p>
            <w:pPr>
              <w:spacing w:line="240" w:lineRule="auto"/>
              <w:rPr>
                <w:rFonts w:ascii="Times New Roman" w:hAnsi="Times New Roman" w:cs="Times New Roman"/>
                <w:color w:val="000000"/>
                <w:sz w:val="20"/>
                <w:szCs w:val="20"/>
              </w:rPr>
            </w:pPr>
            <w:r>
              <w:rPr>
                <w:rFonts w:hint="eastAsia" w:ascii="Times New Roman" w:hAnsi="Times New Roman" w:cs="Times New Roman"/>
                <w:color w:val="000000"/>
                <w:sz w:val="20"/>
                <w:szCs w:val="20"/>
              </w:rPr>
              <w:t>根据项目实际目标值与预期目标值进行比较，该项指标按比例得分。</w:t>
            </w:r>
          </w:p>
        </w:tc>
        <w:tc>
          <w:tcPr>
            <w:tcW w:w="716" w:type="dxa"/>
            <w:shd w:val="clear" w:color="auto" w:fill="auto"/>
            <w:noWrap/>
            <w:vAlign w:val="center"/>
          </w:tcPr>
          <w:p>
            <w:pPr>
              <w:spacing w:line="240" w:lineRule="auto"/>
              <w:jc w:val="center"/>
              <w:rPr>
                <w:rFonts w:hint="eastAsia" w:eastAsia="宋体"/>
                <w:color w:val="000000"/>
                <w:sz w:val="20"/>
                <w:szCs w:val="20"/>
                <w:lang w:eastAsia="zh-CN"/>
              </w:rPr>
            </w:pPr>
            <w:r>
              <w:rPr>
                <w:rFonts w:hint="eastAsia"/>
                <w:color w:val="000000"/>
                <w:sz w:val="20"/>
                <w:szCs w:val="20"/>
                <w:lang w:val="en-US" w:eastAsia="zh-CN"/>
              </w:rPr>
              <w:t>3</w:t>
            </w:r>
          </w:p>
        </w:tc>
        <w:tc>
          <w:tcPr>
            <w:tcW w:w="1137" w:type="dxa"/>
            <w:shd w:val="clear" w:color="auto" w:fill="auto"/>
            <w:vAlign w:val="center"/>
          </w:tcPr>
          <w:p>
            <w:pPr>
              <w:spacing w:line="240" w:lineRule="auto"/>
              <w:jc w:val="center"/>
              <w:rPr>
                <w:color w:val="000000"/>
                <w:sz w:val="20"/>
                <w:szCs w:val="20"/>
              </w:rPr>
            </w:pPr>
            <w:r>
              <w:rPr>
                <w:rFonts w:hint="eastAsia"/>
                <w:color w:val="000000"/>
                <w:sz w:val="20"/>
                <w:szCs w:val="20"/>
                <w:lang w:val="en-US" w:eastAsia="zh-CN"/>
              </w:rPr>
              <w:t>6</w:t>
            </w:r>
            <w:r>
              <w:rPr>
                <w:rFonts w:hint="eastAsia"/>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7" w:type="dxa"/>
            <w:vMerge w:val="continue"/>
            <w:vAlign w:val="center"/>
          </w:tcPr>
          <w:p>
            <w:pPr>
              <w:spacing w:line="240" w:lineRule="auto"/>
              <w:jc w:val="left"/>
              <w:rPr>
                <w:rFonts w:ascii="Times New Roman" w:hAnsi="Times New Roman" w:cs="Times New Roman"/>
                <w:color w:val="000000"/>
                <w:sz w:val="20"/>
                <w:szCs w:val="20"/>
              </w:rPr>
            </w:pPr>
          </w:p>
        </w:tc>
        <w:tc>
          <w:tcPr>
            <w:tcW w:w="688" w:type="dxa"/>
            <w:vMerge w:val="continue"/>
            <w:vAlign w:val="center"/>
          </w:tcPr>
          <w:p>
            <w:pPr>
              <w:spacing w:line="240" w:lineRule="auto"/>
              <w:jc w:val="left"/>
              <w:rPr>
                <w:rFonts w:ascii="Times New Roman" w:hAnsi="Times New Roman" w:cs="Times New Roman"/>
                <w:color w:val="000000"/>
                <w:sz w:val="20"/>
                <w:szCs w:val="20"/>
              </w:rPr>
            </w:pPr>
          </w:p>
        </w:tc>
        <w:tc>
          <w:tcPr>
            <w:tcW w:w="780" w:type="dxa"/>
            <w:vMerge w:val="restart"/>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D2</w:t>
            </w:r>
            <w:r>
              <w:rPr>
                <w:rFonts w:hint="eastAsia" w:cs="Times New Roman"/>
                <w:color w:val="000000"/>
                <w:sz w:val="20"/>
                <w:szCs w:val="20"/>
              </w:rPr>
              <w:t>社会效益</w:t>
            </w:r>
          </w:p>
        </w:tc>
        <w:tc>
          <w:tcPr>
            <w:tcW w:w="757" w:type="dxa"/>
            <w:vMerge w:val="restart"/>
            <w:shd w:val="clear" w:color="auto" w:fill="auto"/>
            <w:vAlign w:val="center"/>
          </w:tcPr>
          <w:p>
            <w:pPr>
              <w:spacing w:line="240" w:lineRule="auto"/>
              <w:jc w:val="center"/>
              <w:rPr>
                <w:rFonts w:hint="eastAsia" w:ascii="Times New Roman" w:hAnsi="Times New Roman" w:eastAsia="宋体" w:cs="Times New Roman"/>
                <w:color w:val="000000"/>
                <w:sz w:val="20"/>
                <w:szCs w:val="20"/>
                <w:lang w:eastAsia="zh-CN"/>
              </w:rPr>
            </w:pPr>
            <w:r>
              <w:rPr>
                <w:rFonts w:hint="eastAsia" w:ascii="Times New Roman" w:hAnsi="Times New Roman" w:cs="Times New Roman"/>
                <w:color w:val="000000"/>
                <w:sz w:val="20"/>
                <w:szCs w:val="20"/>
                <w:lang w:val="en-US" w:eastAsia="zh-CN"/>
              </w:rPr>
              <w:t>8</w:t>
            </w:r>
          </w:p>
        </w:tc>
        <w:tc>
          <w:tcPr>
            <w:tcW w:w="1136" w:type="dxa"/>
            <w:shd w:val="clear" w:color="auto" w:fill="auto"/>
            <w:vAlign w:val="center"/>
          </w:tcPr>
          <w:p>
            <w:pPr>
              <w:spacing w:line="240" w:lineRule="auto"/>
              <w:jc w:val="center"/>
              <w:rPr>
                <w:rFonts w:hint="default" w:ascii="Times New Roman" w:hAnsi="Times New Roman" w:eastAsia="宋体" w:cs="Times New Roman"/>
                <w:color w:val="000000"/>
                <w:sz w:val="20"/>
                <w:szCs w:val="20"/>
                <w:lang w:val="en-US" w:eastAsia="zh-CN"/>
              </w:rPr>
            </w:pPr>
            <w:r>
              <w:rPr>
                <w:rFonts w:ascii="Times New Roman" w:hAnsi="Times New Roman" w:cs="Times New Roman"/>
                <w:color w:val="000000"/>
                <w:sz w:val="20"/>
                <w:szCs w:val="20"/>
              </w:rPr>
              <w:t>D21</w:t>
            </w:r>
            <w:r>
              <w:rPr>
                <w:rFonts w:hint="eastAsia" w:ascii="Times New Roman" w:hAnsi="Times New Roman" w:cs="Times New Roman"/>
                <w:color w:val="000000"/>
                <w:sz w:val="20"/>
                <w:szCs w:val="20"/>
                <w:lang w:val="en-US" w:eastAsia="zh-CN"/>
              </w:rPr>
              <w:t>解决村民出行难题</w:t>
            </w:r>
          </w:p>
        </w:tc>
        <w:tc>
          <w:tcPr>
            <w:tcW w:w="775" w:type="dxa"/>
            <w:shd w:val="clear" w:color="auto" w:fill="auto"/>
            <w:noWrap/>
            <w:vAlign w:val="center"/>
          </w:tcPr>
          <w:p>
            <w:pPr>
              <w:spacing w:line="240" w:lineRule="auto"/>
              <w:jc w:val="center"/>
              <w:rPr>
                <w:rFonts w:hint="eastAsia" w:ascii="Times New Roman" w:hAnsi="Times New Roman" w:eastAsia="宋体" w:cs="Times New Roman"/>
                <w:color w:val="000000"/>
                <w:sz w:val="20"/>
                <w:szCs w:val="20"/>
                <w:lang w:eastAsia="zh-CN"/>
              </w:rPr>
            </w:pPr>
            <w:r>
              <w:rPr>
                <w:rFonts w:hint="eastAsia" w:ascii="Times New Roman" w:hAnsi="Times New Roman" w:cs="Times New Roman"/>
                <w:color w:val="000000"/>
                <w:sz w:val="20"/>
                <w:szCs w:val="20"/>
                <w:lang w:val="en-US" w:eastAsia="zh-CN"/>
              </w:rPr>
              <w:t>4</w:t>
            </w:r>
          </w:p>
        </w:tc>
        <w:tc>
          <w:tcPr>
            <w:tcW w:w="3305" w:type="dxa"/>
            <w:shd w:val="clear" w:color="auto" w:fill="auto"/>
            <w:vAlign w:val="center"/>
          </w:tcPr>
          <w:p>
            <w:pPr>
              <w:spacing w:line="240" w:lineRule="auto"/>
              <w:rPr>
                <w:color w:val="000000"/>
                <w:sz w:val="20"/>
                <w:szCs w:val="20"/>
              </w:rPr>
            </w:pPr>
            <w:r>
              <w:rPr>
                <w:rFonts w:hint="eastAsia" w:ascii="Times New Roman" w:hAnsi="Times New Roman" w:cs="Times New Roman"/>
                <w:color w:val="000000"/>
                <w:sz w:val="20"/>
                <w:szCs w:val="20"/>
              </w:rPr>
              <w:t>主要用来考察项目实施</w:t>
            </w:r>
            <w:r>
              <w:rPr>
                <w:rFonts w:hint="eastAsia" w:ascii="Times New Roman" w:hAnsi="Times New Roman" w:cs="Times New Roman"/>
                <w:color w:val="000000"/>
                <w:sz w:val="20"/>
                <w:szCs w:val="20"/>
                <w:lang w:val="en-US" w:eastAsia="zh-CN"/>
              </w:rPr>
              <w:t>后是否充分解决村民的出行问题，</w:t>
            </w:r>
            <w:r>
              <w:rPr>
                <w:rFonts w:hint="eastAsia" w:ascii="Times New Roman" w:hAnsi="Times New Roman" w:cs="Times New Roman"/>
                <w:color w:val="000000"/>
                <w:sz w:val="20"/>
                <w:szCs w:val="20"/>
              </w:rPr>
              <w:t>用以反映和考核总体</w:t>
            </w:r>
            <w:r>
              <w:rPr>
                <w:rFonts w:hint="eastAsia" w:ascii="Times New Roman" w:hAnsi="Times New Roman" w:cs="Times New Roman"/>
                <w:color w:val="000000"/>
                <w:sz w:val="20"/>
                <w:szCs w:val="20"/>
                <w:lang w:val="en-US" w:eastAsia="zh-CN"/>
              </w:rPr>
              <w:t>社会</w:t>
            </w:r>
            <w:r>
              <w:rPr>
                <w:rFonts w:hint="eastAsia" w:ascii="Times New Roman" w:hAnsi="Times New Roman" w:cs="Times New Roman"/>
                <w:color w:val="000000"/>
                <w:sz w:val="20"/>
                <w:szCs w:val="20"/>
              </w:rPr>
              <w:t>效益目标完成情况。</w:t>
            </w:r>
          </w:p>
        </w:tc>
        <w:tc>
          <w:tcPr>
            <w:tcW w:w="4111" w:type="dxa"/>
            <w:shd w:val="clear" w:color="auto" w:fill="auto"/>
            <w:vAlign w:val="center"/>
          </w:tcPr>
          <w:p>
            <w:pPr>
              <w:spacing w:line="240" w:lineRule="auto"/>
              <w:rPr>
                <w:rFonts w:ascii="Times New Roman" w:hAnsi="Times New Roman" w:cs="Times New Roman"/>
                <w:color w:val="000000"/>
                <w:sz w:val="20"/>
                <w:szCs w:val="20"/>
              </w:rPr>
            </w:pPr>
            <w:r>
              <w:rPr>
                <w:rFonts w:hint="eastAsia" w:ascii="Times New Roman" w:hAnsi="Times New Roman" w:cs="Times New Roman"/>
                <w:color w:val="000000"/>
                <w:sz w:val="20"/>
                <w:szCs w:val="20"/>
                <w:lang w:val="en-US" w:eastAsia="zh-CN"/>
              </w:rPr>
              <w:t>便利200余人出行，得4分；每低于10%，扣0.5分，扣完为止。</w:t>
            </w:r>
          </w:p>
        </w:tc>
        <w:tc>
          <w:tcPr>
            <w:tcW w:w="716" w:type="dxa"/>
            <w:shd w:val="clear" w:color="auto" w:fill="auto"/>
            <w:noWrap/>
            <w:vAlign w:val="center"/>
          </w:tcPr>
          <w:p>
            <w:pPr>
              <w:spacing w:line="240" w:lineRule="auto"/>
              <w:jc w:val="center"/>
              <w:rPr>
                <w:rFonts w:hint="eastAsia" w:eastAsia="宋体"/>
                <w:color w:val="000000"/>
                <w:sz w:val="20"/>
                <w:szCs w:val="20"/>
                <w:lang w:eastAsia="zh-CN"/>
              </w:rPr>
            </w:pPr>
            <w:r>
              <w:rPr>
                <w:rFonts w:hint="eastAsia"/>
                <w:color w:val="000000"/>
                <w:sz w:val="20"/>
                <w:szCs w:val="20"/>
                <w:lang w:val="en-US" w:eastAsia="zh-CN"/>
              </w:rPr>
              <w:t>4</w:t>
            </w:r>
          </w:p>
        </w:tc>
        <w:tc>
          <w:tcPr>
            <w:tcW w:w="1137" w:type="dxa"/>
            <w:shd w:val="clear" w:color="auto" w:fill="auto"/>
            <w:vAlign w:val="center"/>
          </w:tcPr>
          <w:p>
            <w:pPr>
              <w:spacing w:line="240" w:lineRule="auto"/>
              <w:jc w:val="center"/>
              <w:rPr>
                <w:color w:val="000000"/>
                <w:sz w:val="20"/>
                <w:szCs w:val="20"/>
              </w:rPr>
            </w:pPr>
            <w:r>
              <w:rPr>
                <w:rFonts w:hint="eastAsia"/>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7" w:type="dxa"/>
            <w:vMerge w:val="continue"/>
            <w:vAlign w:val="center"/>
          </w:tcPr>
          <w:p>
            <w:pPr>
              <w:spacing w:line="240" w:lineRule="auto"/>
              <w:jc w:val="left"/>
              <w:rPr>
                <w:rFonts w:ascii="Times New Roman" w:hAnsi="Times New Roman" w:cs="Times New Roman"/>
                <w:color w:val="000000"/>
                <w:sz w:val="20"/>
                <w:szCs w:val="20"/>
              </w:rPr>
            </w:pPr>
          </w:p>
        </w:tc>
        <w:tc>
          <w:tcPr>
            <w:tcW w:w="688" w:type="dxa"/>
            <w:vMerge w:val="continue"/>
            <w:vAlign w:val="center"/>
          </w:tcPr>
          <w:p>
            <w:pPr>
              <w:spacing w:line="240" w:lineRule="auto"/>
              <w:jc w:val="left"/>
              <w:rPr>
                <w:rFonts w:ascii="Times New Roman" w:hAnsi="Times New Roman" w:cs="Times New Roman"/>
                <w:color w:val="000000"/>
                <w:sz w:val="20"/>
                <w:szCs w:val="20"/>
              </w:rPr>
            </w:pPr>
          </w:p>
        </w:tc>
        <w:tc>
          <w:tcPr>
            <w:tcW w:w="780" w:type="dxa"/>
            <w:vMerge w:val="continue"/>
            <w:shd w:val="clear" w:color="auto" w:fill="auto"/>
            <w:vAlign w:val="center"/>
          </w:tcPr>
          <w:p>
            <w:pPr>
              <w:spacing w:line="240" w:lineRule="auto"/>
              <w:jc w:val="center"/>
              <w:rPr>
                <w:rFonts w:ascii="Times New Roman" w:hAnsi="Times New Roman" w:cs="Times New Roman"/>
                <w:color w:val="000000"/>
                <w:sz w:val="20"/>
                <w:szCs w:val="20"/>
              </w:rPr>
            </w:pPr>
          </w:p>
        </w:tc>
        <w:tc>
          <w:tcPr>
            <w:tcW w:w="757" w:type="dxa"/>
            <w:vMerge w:val="continue"/>
            <w:shd w:val="clear" w:color="auto" w:fill="auto"/>
            <w:vAlign w:val="center"/>
          </w:tcPr>
          <w:p>
            <w:pPr>
              <w:spacing w:line="240" w:lineRule="auto"/>
              <w:jc w:val="center"/>
              <w:rPr>
                <w:rFonts w:ascii="Times New Roman" w:hAnsi="Times New Roman" w:cs="Times New Roman"/>
                <w:color w:val="000000"/>
                <w:sz w:val="20"/>
                <w:szCs w:val="20"/>
              </w:rPr>
            </w:pPr>
          </w:p>
        </w:tc>
        <w:tc>
          <w:tcPr>
            <w:tcW w:w="1136" w:type="dxa"/>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D22</w:t>
            </w:r>
            <w:r>
              <w:rPr>
                <w:rFonts w:hint="eastAsia" w:ascii="Times New Roman" w:hAnsi="Times New Roman" w:cs="Times New Roman"/>
                <w:color w:val="000000"/>
                <w:sz w:val="20"/>
                <w:szCs w:val="20"/>
              </w:rPr>
              <w:t>改善农民生产生活条件</w:t>
            </w:r>
          </w:p>
        </w:tc>
        <w:tc>
          <w:tcPr>
            <w:tcW w:w="775" w:type="dxa"/>
            <w:shd w:val="clear" w:color="auto" w:fill="auto"/>
            <w:noWrap/>
            <w:vAlign w:val="center"/>
          </w:tcPr>
          <w:p>
            <w:pPr>
              <w:spacing w:line="240" w:lineRule="auto"/>
              <w:jc w:val="center"/>
              <w:rPr>
                <w:rFonts w:hint="eastAsia" w:ascii="Times New Roman" w:hAnsi="Times New Roman" w:eastAsia="宋体" w:cs="Times New Roman"/>
                <w:color w:val="000000"/>
                <w:sz w:val="20"/>
                <w:szCs w:val="20"/>
                <w:lang w:eastAsia="zh-CN"/>
              </w:rPr>
            </w:pPr>
            <w:r>
              <w:rPr>
                <w:rFonts w:hint="eastAsia" w:ascii="Times New Roman" w:hAnsi="Times New Roman" w:cs="Times New Roman"/>
                <w:color w:val="000000"/>
                <w:sz w:val="20"/>
                <w:szCs w:val="20"/>
                <w:lang w:val="en-US" w:eastAsia="zh-CN"/>
              </w:rPr>
              <w:t>4</w:t>
            </w:r>
          </w:p>
        </w:tc>
        <w:tc>
          <w:tcPr>
            <w:tcW w:w="3305" w:type="dxa"/>
            <w:shd w:val="clear" w:color="auto" w:fill="auto"/>
            <w:vAlign w:val="center"/>
          </w:tcPr>
          <w:p>
            <w:pPr>
              <w:spacing w:line="240" w:lineRule="auto"/>
              <w:rPr>
                <w:rFonts w:cs="仿宋"/>
                <w:color w:val="000000"/>
                <w:sz w:val="20"/>
                <w:szCs w:val="20"/>
                <w:lang w:bidi="ar"/>
              </w:rPr>
            </w:pPr>
            <w:r>
              <w:rPr>
                <w:rFonts w:hint="eastAsia" w:cs="仿宋"/>
                <w:color w:val="000000"/>
                <w:sz w:val="20"/>
                <w:szCs w:val="20"/>
                <w:lang w:bidi="ar"/>
              </w:rPr>
              <w:t>主要用来考察和评价项目建设完成后有效利用已建设施，改善农民生产生活条件。</w:t>
            </w:r>
          </w:p>
        </w:tc>
        <w:tc>
          <w:tcPr>
            <w:tcW w:w="4111" w:type="dxa"/>
            <w:shd w:val="clear" w:color="auto" w:fill="auto"/>
            <w:vAlign w:val="center"/>
          </w:tcPr>
          <w:p>
            <w:pPr>
              <w:spacing w:line="240" w:lineRule="auto"/>
              <w:rPr>
                <w:rFonts w:ascii="Times New Roman" w:hAnsi="Times New Roman" w:cs="Times New Roman"/>
                <w:color w:val="000000"/>
                <w:sz w:val="20"/>
                <w:szCs w:val="20"/>
              </w:rPr>
            </w:pPr>
            <w:r>
              <w:rPr>
                <w:rFonts w:hint="eastAsia" w:ascii="Times New Roman" w:hAnsi="Times New Roman" w:cs="Times New Roman"/>
                <w:color w:val="000000"/>
                <w:sz w:val="20"/>
                <w:szCs w:val="20"/>
                <w:lang w:val="en-US" w:eastAsia="zh-CN"/>
              </w:rPr>
              <w:t>产生的社会效益效果明显，得4分；一定程度上改善，得3分；效果不明显，不得分</w:t>
            </w:r>
            <w:r>
              <w:rPr>
                <w:rFonts w:hint="eastAsia" w:ascii="Times New Roman" w:hAnsi="Times New Roman" w:cs="Times New Roman"/>
                <w:color w:val="000000"/>
                <w:sz w:val="20"/>
                <w:szCs w:val="20"/>
              </w:rPr>
              <w:t>。</w:t>
            </w:r>
          </w:p>
        </w:tc>
        <w:tc>
          <w:tcPr>
            <w:tcW w:w="716" w:type="dxa"/>
            <w:shd w:val="clear" w:color="auto" w:fill="auto"/>
            <w:noWrap/>
            <w:vAlign w:val="center"/>
          </w:tcPr>
          <w:p>
            <w:pPr>
              <w:spacing w:line="240" w:lineRule="auto"/>
              <w:jc w:val="center"/>
              <w:rPr>
                <w:color w:val="000000"/>
                <w:sz w:val="20"/>
                <w:szCs w:val="20"/>
              </w:rPr>
            </w:pPr>
            <w:r>
              <w:rPr>
                <w:rFonts w:hint="eastAsia"/>
                <w:color w:val="000000"/>
                <w:sz w:val="20"/>
                <w:szCs w:val="20"/>
              </w:rPr>
              <w:t>3</w:t>
            </w:r>
          </w:p>
        </w:tc>
        <w:tc>
          <w:tcPr>
            <w:tcW w:w="1137" w:type="dxa"/>
            <w:shd w:val="clear" w:color="auto" w:fill="auto"/>
            <w:vAlign w:val="center"/>
          </w:tcPr>
          <w:p>
            <w:pPr>
              <w:spacing w:line="240" w:lineRule="auto"/>
              <w:jc w:val="center"/>
              <w:rPr>
                <w:color w:val="000000"/>
                <w:sz w:val="20"/>
                <w:szCs w:val="20"/>
              </w:rPr>
            </w:pPr>
            <w:r>
              <w:rPr>
                <w:rFonts w:hint="eastAsia"/>
                <w:color w:val="000000"/>
                <w:sz w:val="20"/>
                <w:szCs w:val="20"/>
                <w:lang w:val="en-US" w:eastAsia="zh-CN"/>
              </w:rPr>
              <w:t>75</w:t>
            </w:r>
            <w:r>
              <w:rPr>
                <w:rFonts w:hint="eastAsia"/>
                <w:color w:val="000000"/>
                <w:sz w:val="20"/>
                <w:szCs w:val="20"/>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7" w:type="dxa"/>
            <w:vMerge w:val="continue"/>
            <w:vAlign w:val="center"/>
          </w:tcPr>
          <w:p>
            <w:pPr>
              <w:spacing w:line="240" w:lineRule="auto"/>
              <w:jc w:val="left"/>
              <w:rPr>
                <w:rFonts w:ascii="Times New Roman" w:hAnsi="Times New Roman" w:cs="Times New Roman"/>
                <w:color w:val="000000"/>
                <w:sz w:val="20"/>
                <w:szCs w:val="20"/>
              </w:rPr>
            </w:pPr>
          </w:p>
        </w:tc>
        <w:tc>
          <w:tcPr>
            <w:tcW w:w="688" w:type="dxa"/>
            <w:vMerge w:val="continue"/>
            <w:vAlign w:val="center"/>
          </w:tcPr>
          <w:p>
            <w:pPr>
              <w:spacing w:line="240" w:lineRule="auto"/>
              <w:jc w:val="left"/>
              <w:rPr>
                <w:rFonts w:ascii="Times New Roman" w:hAnsi="Times New Roman" w:cs="Times New Roman"/>
                <w:color w:val="000000"/>
                <w:sz w:val="20"/>
                <w:szCs w:val="20"/>
              </w:rPr>
            </w:pPr>
          </w:p>
        </w:tc>
        <w:tc>
          <w:tcPr>
            <w:tcW w:w="780" w:type="dxa"/>
            <w:vMerge w:val="restart"/>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w:t>
            </w:r>
            <w:r>
              <w:rPr>
                <w:rFonts w:hint="eastAsia" w:ascii="Times New Roman" w:hAnsi="Times New Roman" w:cs="Times New Roman"/>
                <w:color w:val="000000"/>
                <w:sz w:val="20"/>
                <w:szCs w:val="20"/>
                <w:lang w:val="en-US" w:eastAsia="zh-CN"/>
              </w:rPr>
              <w:t>3</w:t>
            </w:r>
            <w:r>
              <w:rPr>
                <w:rFonts w:hint="eastAsia" w:cs="Times New Roman"/>
                <w:color w:val="000000"/>
                <w:sz w:val="20"/>
                <w:szCs w:val="20"/>
              </w:rPr>
              <w:t>可持续影响</w:t>
            </w:r>
          </w:p>
        </w:tc>
        <w:tc>
          <w:tcPr>
            <w:tcW w:w="757" w:type="dxa"/>
            <w:vMerge w:val="restart"/>
            <w:shd w:val="clear" w:color="auto" w:fill="auto"/>
            <w:vAlign w:val="center"/>
          </w:tcPr>
          <w:p>
            <w:pPr>
              <w:spacing w:line="240" w:lineRule="auto"/>
              <w:jc w:val="center"/>
              <w:rPr>
                <w:rFonts w:hint="eastAsia" w:ascii="Times New Roman" w:hAnsi="Times New Roman" w:eastAsia="宋体" w:cs="Times New Roman"/>
                <w:color w:val="000000"/>
                <w:sz w:val="20"/>
                <w:szCs w:val="20"/>
                <w:lang w:eastAsia="zh-CN"/>
              </w:rPr>
            </w:pPr>
            <w:r>
              <w:rPr>
                <w:rFonts w:hint="eastAsia" w:ascii="Times New Roman" w:hAnsi="Times New Roman" w:cs="Times New Roman"/>
                <w:color w:val="000000"/>
                <w:sz w:val="20"/>
                <w:szCs w:val="20"/>
                <w:lang w:val="en-US" w:eastAsia="zh-CN"/>
              </w:rPr>
              <w:t>9</w:t>
            </w:r>
          </w:p>
        </w:tc>
        <w:tc>
          <w:tcPr>
            <w:tcW w:w="1136" w:type="dxa"/>
            <w:shd w:val="clear" w:color="auto" w:fill="auto"/>
            <w:vAlign w:val="center"/>
          </w:tcPr>
          <w:p>
            <w:pPr>
              <w:spacing w:line="240" w:lineRule="auto"/>
              <w:jc w:val="center"/>
              <w:rPr>
                <w:rFonts w:hint="default" w:ascii="Times New Roman" w:hAnsi="Times New Roman" w:eastAsia="宋体" w:cs="Times New Roman"/>
                <w:color w:val="000000"/>
                <w:sz w:val="20"/>
                <w:szCs w:val="20"/>
                <w:lang w:val="en-US" w:eastAsia="zh-CN"/>
              </w:rPr>
            </w:pPr>
            <w:r>
              <w:rPr>
                <w:rFonts w:ascii="Times New Roman" w:hAnsi="Times New Roman" w:cs="Times New Roman"/>
                <w:color w:val="000000"/>
                <w:sz w:val="20"/>
                <w:szCs w:val="20"/>
              </w:rPr>
              <w:t>D31</w:t>
            </w:r>
            <w:r>
              <w:rPr>
                <w:rFonts w:hint="eastAsia" w:ascii="Times New Roman" w:hAnsi="Times New Roman" w:cs="Times New Roman"/>
                <w:color w:val="000000"/>
                <w:sz w:val="20"/>
                <w:szCs w:val="20"/>
                <w:lang w:val="en-US" w:eastAsia="zh-CN"/>
              </w:rPr>
              <w:t>工程设计使用年限</w:t>
            </w:r>
          </w:p>
        </w:tc>
        <w:tc>
          <w:tcPr>
            <w:tcW w:w="775" w:type="dxa"/>
            <w:shd w:val="clear" w:color="auto" w:fill="auto"/>
            <w:noWrap/>
            <w:vAlign w:val="center"/>
          </w:tcPr>
          <w:p>
            <w:pPr>
              <w:spacing w:line="240" w:lineRule="auto"/>
              <w:jc w:val="center"/>
              <w:rPr>
                <w:rFonts w:hint="default" w:ascii="Times New Roman" w:hAnsi="Times New Roman" w:cs="Times New Roman"/>
                <w:color w:val="000000"/>
                <w:sz w:val="20"/>
                <w:szCs w:val="20"/>
                <w:lang w:val="en-US" w:eastAsia="zh-CN"/>
              </w:rPr>
            </w:pPr>
            <w:r>
              <w:rPr>
                <w:rFonts w:hint="eastAsia" w:ascii="Times New Roman" w:hAnsi="Times New Roman" w:cs="Times New Roman"/>
                <w:color w:val="000000"/>
                <w:sz w:val="20"/>
                <w:szCs w:val="20"/>
                <w:lang w:val="en-US" w:eastAsia="zh-CN"/>
              </w:rPr>
              <w:t>4</w:t>
            </w:r>
          </w:p>
        </w:tc>
        <w:tc>
          <w:tcPr>
            <w:tcW w:w="3305" w:type="dxa"/>
            <w:shd w:val="clear" w:color="auto" w:fill="auto"/>
            <w:vAlign w:val="center"/>
          </w:tcPr>
          <w:p>
            <w:pPr>
              <w:spacing w:line="240" w:lineRule="auto"/>
              <w:rPr>
                <w:rFonts w:hint="eastAsia" w:cs="仿宋"/>
                <w:color w:val="000000"/>
                <w:sz w:val="20"/>
                <w:szCs w:val="20"/>
                <w:lang w:bidi="ar"/>
              </w:rPr>
            </w:pPr>
            <w:r>
              <w:rPr>
                <w:rFonts w:hint="eastAsia"/>
                <w:color w:val="000000"/>
                <w:sz w:val="20"/>
                <w:szCs w:val="20"/>
              </w:rPr>
              <w:t>主要用来考察和评价项目建设完成后</w:t>
            </w:r>
            <w:r>
              <w:rPr>
                <w:rFonts w:hint="eastAsia"/>
                <w:color w:val="000000"/>
                <w:sz w:val="20"/>
                <w:szCs w:val="20"/>
                <w:lang w:val="en-US" w:eastAsia="zh-CN"/>
              </w:rPr>
              <w:t>工程设计使用年限</w:t>
            </w:r>
            <w:r>
              <w:rPr>
                <w:rFonts w:hint="eastAsia"/>
                <w:color w:val="000000"/>
                <w:sz w:val="20"/>
                <w:szCs w:val="20"/>
              </w:rPr>
              <w:t>是否</w:t>
            </w:r>
            <w:r>
              <w:rPr>
                <w:rFonts w:hint="eastAsia"/>
                <w:color w:val="000000"/>
                <w:sz w:val="20"/>
                <w:szCs w:val="20"/>
                <w:lang w:val="en-US" w:eastAsia="zh-CN"/>
              </w:rPr>
              <w:t>达到绩效目标值，用以反映和考核项目产生的可持续影响。</w:t>
            </w:r>
          </w:p>
        </w:tc>
        <w:tc>
          <w:tcPr>
            <w:tcW w:w="4111" w:type="dxa"/>
            <w:shd w:val="clear" w:color="auto" w:fill="auto"/>
            <w:vAlign w:val="center"/>
          </w:tcPr>
          <w:p>
            <w:pPr>
              <w:spacing w:line="240" w:lineRule="auto"/>
              <w:rPr>
                <w:rFonts w:hint="default" w:ascii="Times New Roman" w:hAnsi="Times New Roman" w:eastAsia="宋体" w:cs="Times New Roman"/>
                <w:color w:val="000000"/>
                <w:sz w:val="20"/>
                <w:szCs w:val="20"/>
                <w:lang w:val="en-US" w:eastAsia="zh-CN"/>
              </w:rPr>
            </w:pPr>
            <w:r>
              <w:rPr>
                <w:rFonts w:hint="eastAsia" w:ascii="Times New Roman" w:hAnsi="Times New Roman" w:cs="Times New Roman"/>
                <w:color w:val="000000"/>
                <w:sz w:val="20"/>
                <w:szCs w:val="20"/>
                <w:lang w:val="en-US" w:eastAsia="zh-CN"/>
              </w:rPr>
              <w:t>工程设计使用年限达到25年及以上，得4分；存在问题扣分。</w:t>
            </w:r>
          </w:p>
        </w:tc>
        <w:tc>
          <w:tcPr>
            <w:tcW w:w="716" w:type="dxa"/>
            <w:shd w:val="clear" w:color="auto" w:fill="auto"/>
            <w:noWrap/>
            <w:vAlign w:val="center"/>
          </w:tcPr>
          <w:p>
            <w:pPr>
              <w:spacing w:line="240" w:lineRule="auto"/>
              <w:jc w:val="center"/>
              <w:rPr>
                <w:rFonts w:hint="eastAsia" w:eastAsia="宋体"/>
                <w:color w:val="000000"/>
                <w:sz w:val="20"/>
                <w:szCs w:val="20"/>
                <w:lang w:val="en-US" w:eastAsia="zh-CN"/>
              </w:rPr>
            </w:pPr>
            <w:r>
              <w:rPr>
                <w:rFonts w:hint="eastAsia"/>
                <w:color w:val="000000"/>
                <w:sz w:val="20"/>
                <w:szCs w:val="20"/>
                <w:lang w:val="en-US" w:eastAsia="zh-CN"/>
              </w:rPr>
              <w:t>2</w:t>
            </w:r>
          </w:p>
        </w:tc>
        <w:tc>
          <w:tcPr>
            <w:tcW w:w="1137" w:type="dxa"/>
            <w:shd w:val="clear" w:color="auto" w:fill="auto"/>
            <w:vAlign w:val="center"/>
          </w:tcPr>
          <w:p>
            <w:pPr>
              <w:spacing w:line="240" w:lineRule="auto"/>
              <w:jc w:val="center"/>
              <w:rPr>
                <w:rFonts w:hint="eastAsia"/>
                <w:color w:val="000000"/>
                <w:sz w:val="20"/>
                <w:szCs w:val="20"/>
                <w:lang w:val="en-US" w:eastAsia="zh-CN"/>
              </w:rPr>
            </w:pPr>
            <w:r>
              <w:rPr>
                <w:rFonts w:hint="eastAsia"/>
                <w:color w:val="000000"/>
                <w:sz w:val="20"/>
                <w:szCs w:val="20"/>
                <w:lang w:val="en-US" w:eastAsia="zh-CN"/>
              </w:rPr>
              <w:t>5</w:t>
            </w:r>
            <w:r>
              <w:rPr>
                <w:rFonts w:hint="eastAsia"/>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7" w:type="dxa"/>
            <w:vMerge w:val="continue"/>
            <w:vAlign w:val="center"/>
          </w:tcPr>
          <w:p>
            <w:pPr>
              <w:spacing w:line="240" w:lineRule="auto"/>
              <w:jc w:val="left"/>
              <w:rPr>
                <w:rFonts w:ascii="Times New Roman" w:hAnsi="Times New Roman" w:cs="Times New Roman"/>
                <w:color w:val="000000"/>
                <w:sz w:val="20"/>
                <w:szCs w:val="20"/>
              </w:rPr>
            </w:pPr>
          </w:p>
        </w:tc>
        <w:tc>
          <w:tcPr>
            <w:tcW w:w="688" w:type="dxa"/>
            <w:vMerge w:val="continue"/>
            <w:vAlign w:val="center"/>
          </w:tcPr>
          <w:p>
            <w:pPr>
              <w:spacing w:line="240" w:lineRule="auto"/>
              <w:jc w:val="left"/>
              <w:rPr>
                <w:rFonts w:ascii="Times New Roman" w:hAnsi="Times New Roman" w:cs="Times New Roman"/>
                <w:color w:val="000000"/>
                <w:sz w:val="20"/>
                <w:szCs w:val="20"/>
              </w:rPr>
            </w:pPr>
          </w:p>
        </w:tc>
        <w:tc>
          <w:tcPr>
            <w:tcW w:w="780" w:type="dxa"/>
            <w:vMerge w:val="continue"/>
            <w:shd w:val="clear" w:color="auto" w:fill="auto"/>
            <w:vAlign w:val="center"/>
          </w:tcPr>
          <w:p>
            <w:pPr>
              <w:spacing w:line="240" w:lineRule="auto"/>
              <w:jc w:val="center"/>
              <w:rPr>
                <w:rFonts w:ascii="Times New Roman" w:hAnsi="Times New Roman" w:cs="Times New Roman"/>
                <w:color w:val="000000"/>
                <w:sz w:val="20"/>
                <w:szCs w:val="20"/>
              </w:rPr>
            </w:pPr>
          </w:p>
        </w:tc>
        <w:tc>
          <w:tcPr>
            <w:tcW w:w="757" w:type="dxa"/>
            <w:vMerge w:val="continue"/>
            <w:shd w:val="clear" w:color="auto" w:fill="auto"/>
            <w:vAlign w:val="center"/>
          </w:tcPr>
          <w:p>
            <w:pPr>
              <w:spacing w:line="240" w:lineRule="auto"/>
              <w:jc w:val="center"/>
              <w:rPr>
                <w:rFonts w:hint="eastAsia" w:ascii="Times New Roman" w:hAnsi="Times New Roman" w:eastAsia="宋体" w:cs="Times New Roman"/>
                <w:color w:val="000000"/>
                <w:sz w:val="20"/>
                <w:szCs w:val="20"/>
                <w:lang w:eastAsia="zh-CN"/>
              </w:rPr>
            </w:pPr>
          </w:p>
        </w:tc>
        <w:tc>
          <w:tcPr>
            <w:tcW w:w="1136" w:type="dxa"/>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D3</w:t>
            </w:r>
            <w:r>
              <w:rPr>
                <w:rFonts w:hint="eastAsia" w:ascii="Times New Roman" w:hAnsi="Times New Roman" w:cs="Times New Roman"/>
                <w:color w:val="000000"/>
                <w:sz w:val="20"/>
                <w:szCs w:val="20"/>
                <w:lang w:val="en-US" w:eastAsia="zh-CN"/>
              </w:rPr>
              <w:t>2</w:t>
            </w:r>
            <w:r>
              <w:rPr>
                <w:rFonts w:hint="eastAsia" w:cs="Times New Roman"/>
                <w:color w:val="000000"/>
                <w:sz w:val="20"/>
                <w:szCs w:val="20"/>
              </w:rPr>
              <w:t>后期维护管护</w:t>
            </w:r>
          </w:p>
        </w:tc>
        <w:tc>
          <w:tcPr>
            <w:tcW w:w="775" w:type="dxa"/>
            <w:shd w:val="clear" w:color="auto" w:fill="auto"/>
            <w:noWrap/>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3305" w:type="dxa"/>
            <w:shd w:val="clear" w:color="auto" w:fill="auto"/>
            <w:vAlign w:val="center"/>
          </w:tcPr>
          <w:p>
            <w:pPr>
              <w:spacing w:line="240" w:lineRule="auto"/>
              <w:rPr>
                <w:color w:val="000000"/>
                <w:sz w:val="20"/>
                <w:szCs w:val="20"/>
              </w:rPr>
            </w:pPr>
            <w:r>
              <w:rPr>
                <w:rFonts w:hint="eastAsia"/>
                <w:color w:val="000000"/>
                <w:sz w:val="20"/>
                <w:szCs w:val="20"/>
              </w:rPr>
              <w:t>本指标主要考察项目完工投入使用后，是否有后期管护措施，使得项目可以持续发挥作用。</w:t>
            </w:r>
          </w:p>
        </w:tc>
        <w:tc>
          <w:tcPr>
            <w:tcW w:w="4111" w:type="dxa"/>
            <w:shd w:val="clear" w:color="auto" w:fill="auto"/>
            <w:vAlign w:val="center"/>
          </w:tcPr>
          <w:p>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hint="eastAsia" w:cs="Times New Roman"/>
                <w:color w:val="000000"/>
                <w:sz w:val="20"/>
                <w:szCs w:val="20"/>
              </w:rPr>
              <w:t>后期维护管护措施健全（</w:t>
            </w:r>
            <w:r>
              <w:rPr>
                <w:rFonts w:ascii="Times New Roman" w:hAnsi="Times New Roman" w:cs="Times New Roman"/>
                <w:color w:val="000000"/>
                <w:sz w:val="20"/>
                <w:szCs w:val="20"/>
              </w:rPr>
              <w:t>3</w:t>
            </w:r>
            <w:r>
              <w:rPr>
                <w:rFonts w:hint="eastAsia" w:cs="Times New Roman"/>
                <w:color w:val="000000"/>
                <w:sz w:val="20"/>
                <w:szCs w:val="20"/>
              </w:rPr>
              <w:t>分），</w:t>
            </w:r>
            <w:r>
              <w:rPr>
                <w:rFonts w:ascii="Times New Roman" w:hAnsi="Times New Roman" w:cs="Times New Roman"/>
                <w:color w:val="000000"/>
                <w:sz w:val="20"/>
                <w:szCs w:val="20"/>
              </w:rPr>
              <w:t>2.</w:t>
            </w:r>
            <w:r>
              <w:rPr>
                <w:rFonts w:hint="eastAsia" w:cs="Times New Roman"/>
                <w:color w:val="000000"/>
                <w:sz w:val="20"/>
                <w:szCs w:val="20"/>
              </w:rPr>
              <w:t>按照制度执行（</w:t>
            </w:r>
            <w:r>
              <w:rPr>
                <w:rFonts w:ascii="Times New Roman" w:hAnsi="Times New Roman" w:cs="Times New Roman"/>
                <w:color w:val="000000"/>
                <w:sz w:val="20"/>
                <w:szCs w:val="20"/>
              </w:rPr>
              <w:t>2</w:t>
            </w:r>
            <w:r>
              <w:rPr>
                <w:rFonts w:hint="eastAsia" w:cs="Times New Roman"/>
                <w:color w:val="000000"/>
                <w:sz w:val="20"/>
                <w:szCs w:val="20"/>
              </w:rPr>
              <w:t>分），过程中存在问题扣分。</w:t>
            </w:r>
          </w:p>
        </w:tc>
        <w:tc>
          <w:tcPr>
            <w:tcW w:w="716" w:type="dxa"/>
            <w:shd w:val="clear" w:color="auto" w:fill="auto"/>
            <w:noWrap/>
            <w:vAlign w:val="center"/>
          </w:tcPr>
          <w:p>
            <w:pPr>
              <w:spacing w:line="240" w:lineRule="auto"/>
              <w:jc w:val="center"/>
              <w:rPr>
                <w:color w:val="000000"/>
                <w:sz w:val="20"/>
                <w:szCs w:val="20"/>
              </w:rPr>
            </w:pPr>
            <w:r>
              <w:rPr>
                <w:rFonts w:hint="eastAsia"/>
                <w:color w:val="000000"/>
                <w:sz w:val="20"/>
                <w:szCs w:val="20"/>
              </w:rPr>
              <w:t>2</w:t>
            </w:r>
          </w:p>
        </w:tc>
        <w:tc>
          <w:tcPr>
            <w:tcW w:w="1137" w:type="dxa"/>
            <w:shd w:val="clear" w:color="auto" w:fill="auto"/>
            <w:vAlign w:val="center"/>
          </w:tcPr>
          <w:p>
            <w:pPr>
              <w:spacing w:line="240" w:lineRule="auto"/>
              <w:jc w:val="center"/>
              <w:rPr>
                <w:color w:val="000000"/>
                <w:sz w:val="20"/>
                <w:szCs w:val="20"/>
              </w:rPr>
            </w:pPr>
            <w:r>
              <w:rPr>
                <w:rFonts w:hint="eastAsia"/>
                <w:color w:val="000000"/>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7" w:type="dxa"/>
            <w:vMerge w:val="continue"/>
            <w:vAlign w:val="center"/>
          </w:tcPr>
          <w:p>
            <w:pPr>
              <w:spacing w:line="240" w:lineRule="auto"/>
              <w:jc w:val="left"/>
              <w:rPr>
                <w:rFonts w:ascii="Times New Roman" w:hAnsi="Times New Roman" w:cs="Times New Roman"/>
                <w:color w:val="000000"/>
                <w:sz w:val="20"/>
                <w:szCs w:val="20"/>
              </w:rPr>
            </w:pPr>
          </w:p>
        </w:tc>
        <w:tc>
          <w:tcPr>
            <w:tcW w:w="688" w:type="dxa"/>
            <w:vMerge w:val="continue"/>
            <w:vAlign w:val="center"/>
          </w:tcPr>
          <w:p>
            <w:pPr>
              <w:spacing w:line="240" w:lineRule="auto"/>
              <w:jc w:val="left"/>
              <w:rPr>
                <w:rFonts w:ascii="Times New Roman" w:hAnsi="Times New Roman" w:cs="Times New Roman"/>
                <w:color w:val="000000"/>
                <w:sz w:val="20"/>
                <w:szCs w:val="20"/>
              </w:rPr>
            </w:pPr>
          </w:p>
        </w:tc>
        <w:tc>
          <w:tcPr>
            <w:tcW w:w="780" w:type="dxa"/>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w:t>
            </w:r>
            <w:r>
              <w:rPr>
                <w:rFonts w:hint="eastAsia" w:ascii="Times New Roman" w:hAnsi="Times New Roman" w:cs="Times New Roman"/>
                <w:color w:val="000000"/>
                <w:sz w:val="20"/>
                <w:szCs w:val="20"/>
                <w:lang w:val="en-US" w:eastAsia="zh-CN"/>
              </w:rPr>
              <w:t>4</w:t>
            </w:r>
            <w:r>
              <w:rPr>
                <w:rFonts w:hint="eastAsia" w:cs="Times New Roman"/>
                <w:color w:val="000000"/>
                <w:sz w:val="20"/>
                <w:szCs w:val="20"/>
              </w:rPr>
              <w:t>满意度</w:t>
            </w:r>
          </w:p>
        </w:tc>
        <w:tc>
          <w:tcPr>
            <w:tcW w:w="757" w:type="dxa"/>
            <w:shd w:val="clear" w:color="auto" w:fill="auto"/>
            <w:vAlign w:val="center"/>
          </w:tcPr>
          <w:p>
            <w:pPr>
              <w:spacing w:line="240" w:lineRule="auto"/>
              <w:jc w:val="center"/>
              <w:rPr>
                <w:rFonts w:hint="eastAsia" w:ascii="Times New Roman" w:hAnsi="Times New Roman" w:eastAsia="宋体" w:cs="Times New Roman"/>
                <w:color w:val="000000"/>
                <w:sz w:val="20"/>
                <w:szCs w:val="20"/>
                <w:lang w:eastAsia="zh-CN"/>
              </w:rPr>
            </w:pPr>
            <w:r>
              <w:rPr>
                <w:rFonts w:hint="eastAsia" w:ascii="Times New Roman" w:hAnsi="Times New Roman" w:cs="Times New Roman"/>
                <w:color w:val="000000"/>
                <w:sz w:val="20"/>
                <w:szCs w:val="20"/>
                <w:lang w:val="en-US" w:eastAsia="zh-CN"/>
              </w:rPr>
              <w:t>8</w:t>
            </w:r>
          </w:p>
        </w:tc>
        <w:tc>
          <w:tcPr>
            <w:tcW w:w="1136" w:type="dxa"/>
            <w:shd w:val="clear" w:color="auto" w:fill="auto"/>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D41</w:t>
            </w:r>
            <w:r>
              <w:rPr>
                <w:rFonts w:hint="eastAsia" w:cs="Times New Roman"/>
                <w:color w:val="000000"/>
                <w:sz w:val="20"/>
                <w:szCs w:val="20"/>
                <w:lang w:val="en-US" w:eastAsia="zh-CN"/>
              </w:rPr>
              <w:t>贫困人口</w:t>
            </w:r>
            <w:r>
              <w:rPr>
                <w:rFonts w:hint="eastAsia" w:cs="Times New Roman"/>
                <w:color w:val="000000"/>
                <w:sz w:val="20"/>
                <w:szCs w:val="20"/>
              </w:rPr>
              <w:t>满意度</w:t>
            </w:r>
          </w:p>
        </w:tc>
        <w:tc>
          <w:tcPr>
            <w:tcW w:w="775" w:type="dxa"/>
            <w:shd w:val="clear" w:color="auto" w:fill="auto"/>
            <w:noWrap/>
            <w:vAlign w:val="center"/>
          </w:tcPr>
          <w:p>
            <w:pPr>
              <w:spacing w:line="240" w:lineRule="auto"/>
              <w:jc w:val="center"/>
              <w:rPr>
                <w:rFonts w:hint="eastAsia" w:ascii="Times New Roman" w:hAnsi="Times New Roman" w:eastAsia="宋体" w:cs="Times New Roman"/>
                <w:color w:val="000000"/>
                <w:sz w:val="20"/>
                <w:szCs w:val="20"/>
                <w:lang w:eastAsia="zh-CN"/>
              </w:rPr>
            </w:pPr>
            <w:r>
              <w:rPr>
                <w:rFonts w:hint="eastAsia" w:ascii="Times New Roman" w:hAnsi="Times New Roman" w:cs="Times New Roman"/>
                <w:color w:val="000000"/>
                <w:sz w:val="20"/>
                <w:szCs w:val="20"/>
                <w:lang w:val="en-US" w:eastAsia="zh-CN"/>
              </w:rPr>
              <w:t>8</w:t>
            </w:r>
          </w:p>
        </w:tc>
        <w:tc>
          <w:tcPr>
            <w:tcW w:w="3305" w:type="dxa"/>
            <w:shd w:val="clear" w:color="auto" w:fill="auto"/>
            <w:vAlign w:val="center"/>
          </w:tcPr>
          <w:p>
            <w:pPr>
              <w:spacing w:line="240" w:lineRule="auto"/>
              <w:rPr>
                <w:color w:val="000000"/>
                <w:sz w:val="20"/>
                <w:szCs w:val="20"/>
              </w:rPr>
            </w:pPr>
            <w:r>
              <w:rPr>
                <w:rFonts w:hint="eastAsia"/>
                <w:color w:val="000000"/>
                <w:sz w:val="20"/>
                <w:szCs w:val="20"/>
              </w:rPr>
              <w:t>通过问卷调查方式，考察受益群众对项目实施的满意程度。</w:t>
            </w:r>
          </w:p>
        </w:tc>
        <w:tc>
          <w:tcPr>
            <w:tcW w:w="4111" w:type="dxa"/>
            <w:shd w:val="clear" w:color="auto" w:fill="auto"/>
            <w:vAlign w:val="center"/>
          </w:tcPr>
          <w:p>
            <w:pPr>
              <w:spacing w:line="240" w:lineRule="auto"/>
              <w:rPr>
                <w:color w:val="000000"/>
                <w:sz w:val="20"/>
                <w:szCs w:val="20"/>
              </w:rPr>
            </w:pPr>
            <w:r>
              <w:rPr>
                <w:rFonts w:hint="eastAsia"/>
                <w:color w:val="000000"/>
                <w:sz w:val="20"/>
                <w:szCs w:val="20"/>
              </w:rPr>
              <w:t>以</w:t>
            </w:r>
            <w:r>
              <w:rPr>
                <w:rFonts w:hint="eastAsia"/>
                <w:color w:val="000000"/>
                <w:sz w:val="20"/>
                <w:szCs w:val="20"/>
                <w:lang w:val="en-US" w:eastAsia="zh-CN"/>
              </w:rPr>
              <w:t>项目区贫困人口</w:t>
            </w:r>
            <w:r>
              <w:rPr>
                <w:rFonts w:hint="eastAsia"/>
                <w:color w:val="000000"/>
                <w:sz w:val="20"/>
                <w:szCs w:val="20"/>
              </w:rPr>
              <w:t>为调查对象，设计调查问卷，调查满意程度。问卷结果分析得到的满意度为</w:t>
            </w:r>
            <w:r>
              <w:rPr>
                <w:rFonts w:ascii="Times New Roman" w:hAnsi="Times New Roman" w:cs="Times New Roman"/>
                <w:color w:val="000000"/>
                <w:sz w:val="20"/>
                <w:szCs w:val="20"/>
              </w:rPr>
              <w:t>9</w:t>
            </w:r>
            <w:r>
              <w:rPr>
                <w:rFonts w:hint="eastAsia" w:ascii="Times New Roman" w:hAnsi="Times New Roman" w:cs="Times New Roman"/>
                <w:color w:val="000000"/>
                <w:sz w:val="20"/>
                <w:szCs w:val="20"/>
                <w:lang w:val="en-US" w:eastAsia="zh-CN"/>
              </w:rPr>
              <w:t>0</w:t>
            </w:r>
            <w:r>
              <w:rPr>
                <w:rFonts w:hint="eastAsia"/>
                <w:color w:val="000000"/>
                <w:sz w:val="20"/>
                <w:szCs w:val="20"/>
              </w:rPr>
              <w:t>%得满分</w:t>
            </w:r>
            <w:r>
              <w:rPr>
                <w:rFonts w:hint="eastAsia" w:ascii="Times New Roman" w:hAnsi="Times New Roman" w:cs="Times New Roman"/>
                <w:color w:val="000000"/>
                <w:sz w:val="20"/>
                <w:szCs w:val="20"/>
                <w:lang w:val="en-US" w:eastAsia="zh-CN"/>
              </w:rPr>
              <w:t>8</w:t>
            </w:r>
            <w:r>
              <w:rPr>
                <w:rFonts w:hint="eastAsia"/>
                <w:color w:val="000000"/>
                <w:sz w:val="20"/>
                <w:szCs w:val="20"/>
              </w:rPr>
              <w:t>分，低于</w:t>
            </w:r>
            <w:r>
              <w:rPr>
                <w:rFonts w:ascii="Times New Roman" w:hAnsi="Times New Roman" w:cs="Times New Roman"/>
                <w:color w:val="000000"/>
                <w:sz w:val="20"/>
                <w:szCs w:val="20"/>
              </w:rPr>
              <w:t>50</w:t>
            </w:r>
            <w:r>
              <w:rPr>
                <w:rFonts w:hint="eastAsia"/>
                <w:color w:val="000000"/>
                <w:sz w:val="20"/>
                <w:szCs w:val="20"/>
              </w:rPr>
              <w:t>%（不含）得</w:t>
            </w:r>
            <w:r>
              <w:rPr>
                <w:rFonts w:ascii="Times New Roman" w:hAnsi="Times New Roman" w:cs="Times New Roman"/>
                <w:color w:val="000000"/>
                <w:sz w:val="20"/>
                <w:szCs w:val="20"/>
              </w:rPr>
              <w:t>0</w:t>
            </w:r>
            <w:r>
              <w:rPr>
                <w:rFonts w:hint="eastAsia"/>
                <w:color w:val="000000"/>
                <w:sz w:val="20"/>
                <w:szCs w:val="20"/>
              </w:rPr>
              <w:t>分，其余按比例得分。</w:t>
            </w:r>
          </w:p>
        </w:tc>
        <w:tc>
          <w:tcPr>
            <w:tcW w:w="716" w:type="dxa"/>
            <w:shd w:val="clear" w:color="auto" w:fill="auto"/>
            <w:noWrap/>
            <w:vAlign w:val="center"/>
          </w:tcPr>
          <w:p>
            <w:pPr>
              <w:spacing w:line="240" w:lineRule="auto"/>
              <w:jc w:val="center"/>
              <w:rPr>
                <w:rFonts w:hint="default" w:eastAsia="宋体"/>
                <w:color w:val="000000"/>
                <w:sz w:val="20"/>
                <w:szCs w:val="20"/>
                <w:lang w:val="en-US" w:eastAsia="zh-CN"/>
              </w:rPr>
            </w:pPr>
            <w:r>
              <w:rPr>
                <w:rFonts w:hint="eastAsia"/>
                <w:color w:val="000000"/>
                <w:sz w:val="20"/>
                <w:szCs w:val="20"/>
              </w:rPr>
              <w:t>6.</w:t>
            </w:r>
            <w:r>
              <w:rPr>
                <w:rFonts w:hint="eastAsia"/>
                <w:color w:val="000000"/>
                <w:sz w:val="20"/>
                <w:szCs w:val="20"/>
                <w:lang w:val="en-US" w:eastAsia="zh-CN"/>
              </w:rPr>
              <w:t>85</w:t>
            </w:r>
          </w:p>
        </w:tc>
        <w:tc>
          <w:tcPr>
            <w:tcW w:w="1137" w:type="dxa"/>
            <w:shd w:val="clear" w:color="auto" w:fill="auto"/>
            <w:vAlign w:val="center"/>
          </w:tcPr>
          <w:p>
            <w:pPr>
              <w:spacing w:line="240" w:lineRule="auto"/>
              <w:jc w:val="center"/>
              <w:rPr>
                <w:color w:val="000000"/>
                <w:sz w:val="20"/>
                <w:szCs w:val="20"/>
              </w:rPr>
            </w:pPr>
            <w:r>
              <w:rPr>
                <w:rFonts w:hint="eastAsia"/>
                <w:color w:val="000000"/>
                <w:sz w:val="20"/>
                <w:szCs w:val="20"/>
              </w:rPr>
              <w:t>8</w:t>
            </w:r>
            <w:r>
              <w:rPr>
                <w:rFonts w:hint="eastAsia"/>
                <w:color w:val="000000"/>
                <w:sz w:val="20"/>
                <w:szCs w:val="20"/>
                <w:lang w:val="en-US" w:eastAsia="zh-CN"/>
              </w:rPr>
              <w:t>5</w:t>
            </w:r>
            <w:r>
              <w:rPr>
                <w:rFonts w:hint="eastAsia"/>
                <w:color w:val="000000"/>
                <w:sz w:val="20"/>
                <w:szCs w:val="20"/>
              </w:rPr>
              <w:t>.</w:t>
            </w:r>
            <w:r>
              <w:rPr>
                <w:rFonts w:hint="eastAsia"/>
                <w:color w:val="000000"/>
                <w:sz w:val="20"/>
                <w:szCs w:val="20"/>
                <w:lang w:val="en-US" w:eastAsia="zh-CN"/>
              </w:rPr>
              <w:t>63</w:t>
            </w:r>
            <w:r>
              <w:rPr>
                <w:rFonts w:hint="eastAsia"/>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95" w:type="dxa"/>
            <w:gridSpan w:val="2"/>
            <w:shd w:val="clear" w:color="auto" w:fill="auto"/>
            <w:noWrap/>
            <w:vAlign w:val="center"/>
          </w:tcPr>
          <w:p>
            <w:pPr>
              <w:spacing w:line="240" w:lineRule="auto"/>
              <w:jc w:val="center"/>
              <w:rPr>
                <w:color w:val="000000"/>
                <w:sz w:val="20"/>
                <w:szCs w:val="20"/>
              </w:rPr>
            </w:pPr>
            <w:r>
              <w:rPr>
                <w:rFonts w:hint="eastAsia"/>
                <w:color w:val="000000"/>
                <w:sz w:val="20"/>
                <w:szCs w:val="20"/>
              </w:rPr>
              <w:t>合  计</w:t>
            </w:r>
          </w:p>
        </w:tc>
        <w:tc>
          <w:tcPr>
            <w:tcW w:w="780" w:type="dxa"/>
            <w:shd w:val="clear" w:color="auto" w:fill="auto"/>
            <w:noWrap/>
            <w:vAlign w:val="center"/>
          </w:tcPr>
          <w:p>
            <w:pPr>
              <w:spacing w:line="240" w:lineRule="auto"/>
              <w:jc w:val="center"/>
              <w:rPr>
                <w:color w:val="000000"/>
                <w:sz w:val="20"/>
                <w:szCs w:val="20"/>
              </w:rPr>
            </w:pPr>
            <w:r>
              <w:rPr>
                <w:rFonts w:hint="eastAsia"/>
                <w:color w:val="000000"/>
                <w:sz w:val="20"/>
                <w:szCs w:val="20"/>
              </w:rPr>
              <w:t>　</w:t>
            </w:r>
          </w:p>
        </w:tc>
        <w:tc>
          <w:tcPr>
            <w:tcW w:w="757" w:type="dxa"/>
            <w:shd w:val="clear" w:color="auto" w:fill="auto"/>
            <w:noWrap/>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136" w:type="dxa"/>
            <w:shd w:val="clear" w:color="auto" w:fill="auto"/>
            <w:noWrap/>
            <w:vAlign w:val="center"/>
          </w:tcPr>
          <w:p>
            <w:pPr>
              <w:spacing w:line="240" w:lineRule="auto"/>
              <w:jc w:val="center"/>
              <w:rPr>
                <w:color w:val="000000"/>
                <w:sz w:val="20"/>
                <w:szCs w:val="20"/>
              </w:rPr>
            </w:pPr>
            <w:r>
              <w:rPr>
                <w:rFonts w:hint="eastAsia"/>
                <w:color w:val="000000"/>
                <w:sz w:val="20"/>
                <w:szCs w:val="20"/>
              </w:rPr>
              <w:t>　</w:t>
            </w:r>
          </w:p>
        </w:tc>
        <w:tc>
          <w:tcPr>
            <w:tcW w:w="775" w:type="dxa"/>
            <w:shd w:val="clear" w:color="auto" w:fill="auto"/>
            <w:noWrap/>
            <w:vAlign w:val="center"/>
          </w:tcPr>
          <w:p>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305" w:type="dxa"/>
            <w:shd w:val="clear" w:color="auto" w:fill="auto"/>
            <w:noWrap/>
            <w:vAlign w:val="center"/>
          </w:tcPr>
          <w:p>
            <w:pPr>
              <w:spacing w:line="240" w:lineRule="auto"/>
              <w:rPr>
                <w:color w:val="000000"/>
                <w:sz w:val="20"/>
                <w:szCs w:val="20"/>
              </w:rPr>
            </w:pPr>
            <w:r>
              <w:rPr>
                <w:rFonts w:hint="eastAsia"/>
                <w:color w:val="000000"/>
                <w:sz w:val="20"/>
                <w:szCs w:val="20"/>
              </w:rPr>
              <w:t>　</w:t>
            </w:r>
          </w:p>
        </w:tc>
        <w:tc>
          <w:tcPr>
            <w:tcW w:w="4111" w:type="dxa"/>
            <w:shd w:val="clear" w:color="auto" w:fill="auto"/>
            <w:noWrap/>
            <w:vAlign w:val="center"/>
          </w:tcPr>
          <w:p>
            <w:pPr>
              <w:spacing w:line="240" w:lineRule="auto"/>
              <w:rPr>
                <w:color w:val="000000"/>
                <w:sz w:val="20"/>
                <w:szCs w:val="20"/>
              </w:rPr>
            </w:pPr>
            <w:r>
              <w:rPr>
                <w:rFonts w:hint="eastAsia"/>
                <w:color w:val="000000"/>
                <w:sz w:val="20"/>
                <w:szCs w:val="20"/>
              </w:rPr>
              <w:t>　</w:t>
            </w:r>
          </w:p>
        </w:tc>
        <w:tc>
          <w:tcPr>
            <w:tcW w:w="716" w:type="dxa"/>
            <w:shd w:val="clear" w:color="auto" w:fill="auto"/>
            <w:noWrap/>
            <w:vAlign w:val="center"/>
          </w:tcPr>
          <w:p>
            <w:pPr>
              <w:spacing w:line="240" w:lineRule="auto"/>
              <w:jc w:val="center"/>
              <w:rPr>
                <w:rFonts w:hint="default" w:eastAsia="宋体"/>
                <w:color w:val="000000"/>
                <w:sz w:val="20"/>
                <w:szCs w:val="20"/>
                <w:lang w:val="en-US" w:eastAsia="zh-CN"/>
              </w:rPr>
            </w:pPr>
            <w:r>
              <w:rPr>
                <w:rFonts w:hint="eastAsia"/>
                <w:color w:val="000000"/>
                <w:sz w:val="20"/>
                <w:szCs w:val="20"/>
              </w:rPr>
              <w:t>8</w:t>
            </w:r>
            <w:r>
              <w:rPr>
                <w:rFonts w:hint="eastAsia"/>
                <w:color w:val="000000"/>
                <w:sz w:val="20"/>
                <w:szCs w:val="20"/>
                <w:lang w:val="en-US" w:eastAsia="zh-CN"/>
              </w:rPr>
              <w:t>7</w:t>
            </w:r>
            <w:r>
              <w:rPr>
                <w:rFonts w:hint="eastAsia"/>
                <w:color w:val="000000"/>
                <w:sz w:val="20"/>
                <w:szCs w:val="20"/>
              </w:rPr>
              <w:t>.</w:t>
            </w:r>
            <w:r>
              <w:rPr>
                <w:rFonts w:hint="eastAsia"/>
                <w:color w:val="000000"/>
                <w:sz w:val="20"/>
                <w:szCs w:val="20"/>
                <w:lang w:val="en-US" w:eastAsia="zh-CN"/>
              </w:rPr>
              <w:t>51</w:t>
            </w:r>
          </w:p>
        </w:tc>
        <w:tc>
          <w:tcPr>
            <w:tcW w:w="1137" w:type="dxa"/>
            <w:shd w:val="clear" w:color="auto" w:fill="auto"/>
            <w:vAlign w:val="center"/>
          </w:tcPr>
          <w:p>
            <w:pPr>
              <w:spacing w:line="240" w:lineRule="auto"/>
              <w:jc w:val="center"/>
              <w:rPr>
                <w:color w:val="000000"/>
                <w:sz w:val="20"/>
                <w:szCs w:val="20"/>
              </w:rPr>
            </w:pPr>
            <w:r>
              <w:rPr>
                <w:rFonts w:hint="eastAsia"/>
                <w:color w:val="000000"/>
                <w:sz w:val="20"/>
                <w:szCs w:val="20"/>
              </w:rPr>
              <w:t>8</w:t>
            </w:r>
            <w:r>
              <w:rPr>
                <w:rFonts w:hint="eastAsia"/>
                <w:color w:val="000000"/>
                <w:sz w:val="20"/>
                <w:szCs w:val="20"/>
                <w:lang w:val="en-US" w:eastAsia="zh-CN"/>
              </w:rPr>
              <w:t>7</w:t>
            </w:r>
            <w:r>
              <w:rPr>
                <w:rFonts w:hint="eastAsia"/>
                <w:color w:val="000000"/>
                <w:sz w:val="20"/>
                <w:szCs w:val="20"/>
              </w:rPr>
              <w:t>.</w:t>
            </w:r>
            <w:r>
              <w:rPr>
                <w:rFonts w:hint="eastAsia"/>
                <w:color w:val="000000"/>
                <w:sz w:val="20"/>
                <w:szCs w:val="20"/>
                <w:lang w:val="en-US" w:eastAsia="zh-CN"/>
              </w:rPr>
              <w:t>51</w:t>
            </w:r>
            <w:r>
              <w:rPr>
                <w:rFonts w:hint="eastAsia"/>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312" w:type="dxa"/>
            <w:gridSpan w:val="10"/>
            <w:shd w:val="clear" w:color="auto" w:fill="auto"/>
            <w:noWrap/>
            <w:vAlign w:val="center"/>
          </w:tcPr>
          <w:p>
            <w:pPr>
              <w:spacing w:line="240" w:lineRule="auto"/>
              <w:rPr>
                <w:color w:val="000000"/>
                <w:sz w:val="20"/>
                <w:szCs w:val="20"/>
              </w:rPr>
            </w:pPr>
            <w:r>
              <w:rPr>
                <w:rFonts w:hint="eastAsia"/>
                <w:color w:val="000000"/>
                <w:sz w:val="20"/>
                <w:szCs w:val="20"/>
              </w:rPr>
              <w:t>注：</w:t>
            </w:r>
            <w:r>
              <w:rPr>
                <w:rFonts w:ascii="Times New Roman" w:hAnsi="Times New Roman" w:cs="Times New Roman"/>
                <w:color w:val="000000"/>
                <w:sz w:val="20"/>
                <w:szCs w:val="20"/>
              </w:rPr>
              <w:t>1</w:t>
            </w:r>
            <w:r>
              <w:rPr>
                <w:rFonts w:hint="eastAsia"/>
                <w:color w:val="000000"/>
                <w:sz w:val="20"/>
                <w:szCs w:val="20"/>
              </w:rPr>
              <w:t>、评价实行百分制，按照综合评分</w:t>
            </w:r>
            <w:r>
              <w:rPr>
                <w:rFonts w:ascii="Times New Roman" w:hAnsi="Times New Roman" w:cs="Times New Roman"/>
                <w:color w:val="000000"/>
                <w:sz w:val="20"/>
                <w:szCs w:val="20"/>
              </w:rPr>
              <w:t>90</w:t>
            </w:r>
            <w:r>
              <w:rPr>
                <w:rFonts w:hint="eastAsia"/>
                <w:color w:val="000000"/>
                <w:sz w:val="20"/>
                <w:szCs w:val="20"/>
              </w:rPr>
              <w:t>分（含）-</w:t>
            </w:r>
            <w:r>
              <w:rPr>
                <w:rFonts w:ascii="Times New Roman" w:hAnsi="Times New Roman" w:cs="Times New Roman"/>
                <w:color w:val="000000"/>
                <w:sz w:val="20"/>
                <w:szCs w:val="20"/>
              </w:rPr>
              <w:t>100</w:t>
            </w:r>
            <w:r>
              <w:rPr>
                <w:rFonts w:hint="eastAsia"/>
                <w:color w:val="000000"/>
                <w:sz w:val="20"/>
                <w:szCs w:val="20"/>
              </w:rPr>
              <w:t>分为“优”，</w:t>
            </w:r>
            <w:r>
              <w:rPr>
                <w:rFonts w:ascii="Times New Roman" w:hAnsi="Times New Roman" w:cs="Times New Roman"/>
                <w:color w:val="000000"/>
                <w:sz w:val="20"/>
                <w:szCs w:val="20"/>
              </w:rPr>
              <w:t>80</w:t>
            </w:r>
            <w:r>
              <w:rPr>
                <w:rFonts w:hint="eastAsia"/>
                <w:color w:val="000000"/>
                <w:sz w:val="20"/>
                <w:szCs w:val="20"/>
              </w:rPr>
              <w:t>分（含）-</w:t>
            </w:r>
            <w:r>
              <w:rPr>
                <w:rFonts w:ascii="Times New Roman" w:hAnsi="Times New Roman" w:cs="Times New Roman"/>
                <w:color w:val="000000"/>
                <w:sz w:val="20"/>
                <w:szCs w:val="20"/>
              </w:rPr>
              <w:t>90</w:t>
            </w:r>
            <w:r>
              <w:rPr>
                <w:rFonts w:hint="eastAsia"/>
                <w:color w:val="000000"/>
                <w:sz w:val="20"/>
                <w:szCs w:val="20"/>
              </w:rPr>
              <w:t>分为“良”，</w:t>
            </w:r>
            <w:r>
              <w:rPr>
                <w:rFonts w:ascii="Times New Roman" w:hAnsi="Times New Roman" w:cs="Times New Roman"/>
                <w:color w:val="000000"/>
                <w:sz w:val="20"/>
                <w:szCs w:val="20"/>
              </w:rPr>
              <w:t>60</w:t>
            </w:r>
            <w:r>
              <w:rPr>
                <w:rFonts w:hint="eastAsia"/>
                <w:color w:val="000000"/>
                <w:sz w:val="20"/>
                <w:szCs w:val="20"/>
              </w:rPr>
              <w:t>分（含）-</w:t>
            </w:r>
            <w:r>
              <w:rPr>
                <w:rFonts w:ascii="Times New Roman" w:hAnsi="Times New Roman" w:cs="Times New Roman"/>
                <w:color w:val="000000"/>
                <w:sz w:val="20"/>
                <w:szCs w:val="20"/>
              </w:rPr>
              <w:t>80</w:t>
            </w:r>
            <w:r>
              <w:rPr>
                <w:rFonts w:hint="eastAsia"/>
                <w:color w:val="000000"/>
                <w:sz w:val="20"/>
                <w:szCs w:val="20"/>
              </w:rPr>
              <w:t>分为“中”，</w:t>
            </w:r>
            <w:r>
              <w:rPr>
                <w:rFonts w:ascii="Times New Roman" w:hAnsi="Times New Roman" w:cs="Times New Roman"/>
                <w:color w:val="000000"/>
                <w:sz w:val="20"/>
                <w:szCs w:val="20"/>
              </w:rPr>
              <w:t>60</w:t>
            </w:r>
            <w:r>
              <w:rPr>
                <w:rFonts w:hint="eastAsia"/>
                <w:color w:val="000000"/>
                <w:sz w:val="20"/>
                <w:szCs w:val="20"/>
              </w:rPr>
              <w:t>分以下为“差”；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312" w:type="dxa"/>
            <w:gridSpan w:val="10"/>
            <w:shd w:val="clear" w:color="auto" w:fill="auto"/>
            <w:noWrap/>
            <w:vAlign w:val="center"/>
          </w:tcPr>
          <w:p>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2</w:t>
            </w:r>
            <w:r>
              <w:rPr>
                <w:rFonts w:hint="eastAsia" w:cs="Times New Roman"/>
                <w:color w:val="000000"/>
                <w:sz w:val="20"/>
                <w:szCs w:val="20"/>
              </w:rPr>
              <w:t>、本表适用于2019年平陆县圣人涧镇营村村一组至二组道路建设工程项目资金绩效评分。</w:t>
            </w:r>
          </w:p>
        </w:tc>
      </w:tr>
    </w:tbl>
    <w:p>
      <w:pPr>
        <w:tabs>
          <w:tab w:val="left" w:pos="1250"/>
        </w:tabs>
        <w:spacing w:line="400" w:lineRule="exact"/>
        <w:rPr>
          <w:rFonts w:ascii="黑体" w:hAnsi="黑体" w:eastAsia="黑体" w:cs="Times New Roman"/>
          <w:sz w:val="30"/>
          <w:szCs w:val="30"/>
        </w:rPr>
        <w:sectPr>
          <w:pgSz w:w="16838" w:h="11906" w:orient="landscape"/>
          <w:pgMar w:top="2098" w:right="1531" w:bottom="1985" w:left="1531" w:header="851" w:footer="992" w:gutter="0"/>
          <w:pgNumType w:fmt="numberInDash"/>
          <w:cols w:space="720" w:num="1"/>
          <w:docGrid w:linePitch="312" w:charSpace="0"/>
        </w:sectPr>
      </w:pPr>
    </w:p>
    <w:p>
      <w:pPr>
        <w:outlineLvl w:val="0"/>
        <w:rPr>
          <w:rFonts w:ascii="黑体" w:hAnsi="黑体" w:eastAsia="黑体" w:cs="Times New Roman"/>
          <w:sz w:val="30"/>
          <w:szCs w:val="30"/>
        </w:rPr>
      </w:pPr>
      <w:bookmarkStart w:id="91" w:name="_Toc17664"/>
      <w:bookmarkStart w:id="92" w:name="_Toc31085"/>
      <w:bookmarkStart w:id="93" w:name="_Toc17294841"/>
      <w:bookmarkStart w:id="94" w:name="_Toc16529595"/>
      <w:bookmarkStart w:id="95" w:name="_Toc15844067"/>
      <w:r>
        <w:rPr>
          <w:rFonts w:hint="eastAsia" w:ascii="黑体" w:hAnsi="黑体" w:eastAsia="黑体" w:cs="Times New Roman"/>
          <w:sz w:val="30"/>
          <w:szCs w:val="30"/>
        </w:rPr>
        <w:t>附件</w:t>
      </w:r>
      <w:r>
        <w:rPr>
          <w:rFonts w:ascii="Times New Roman" w:hAnsi="Times New Roman" w:eastAsia="黑体" w:cs="Times New Roman"/>
          <w:sz w:val="30"/>
          <w:szCs w:val="30"/>
        </w:rPr>
        <w:t>3</w:t>
      </w:r>
      <w:r>
        <w:rPr>
          <w:rFonts w:hint="eastAsia" w:ascii="黑体" w:hAnsi="黑体" w:eastAsia="黑体" w:cs="Times New Roman"/>
          <w:sz w:val="30"/>
          <w:szCs w:val="30"/>
        </w:rPr>
        <w:t>：</w:t>
      </w:r>
      <w:bookmarkEnd w:id="91"/>
      <w:bookmarkEnd w:id="92"/>
    </w:p>
    <w:p>
      <w:pPr>
        <w:spacing w:after="120" w:afterLines="50"/>
        <w:ind w:firstLine="643" w:firstLineChars="200"/>
        <w:jc w:val="center"/>
        <w:rPr>
          <w:rFonts w:hint="eastAsia" w:ascii="Times New Roman" w:hAnsi="Times New Roman" w:eastAsia="仿宋_GB2312" w:cs="仿宋"/>
          <w:b/>
          <w:bCs/>
          <w:sz w:val="32"/>
          <w:szCs w:val="32"/>
          <w:lang w:val="en-US" w:eastAsia="zh-CN"/>
        </w:rPr>
      </w:pPr>
      <w:r>
        <w:rPr>
          <w:rFonts w:hint="eastAsia" w:ascii="Times New Roman" w:hAnsi="Times New Roman" w:eastAsia="仿宋_GB2312" w:cs="仿宋"/>
          <w:b/>
          <w:bCs/>
          <w:sz w:val="32"/>
          <w:szCs w:val="32"/>
        </w:rPr>
        <w:t>2019年平陆县</w:t>
      </w:r>
      <w:r>
        <w:rPr>
          <w:rFonts w:hint="eastAsia" w:ascii="Times New Roman" w:hAnsi="Times New Roman" w:eastAsia="仿宋_GB2312" w:cs="仿宋"/>
          <w:b/>
          <w:bCs/>
          <w:sz w:val="32"/>
          <w:szCs w:val="32"/>
          <w:lang w:val="en-US" w:eastAsia="zh-CN"/>
        </w:rPr>
        <w:t>圣人涧镇营村村一组至二组</w:t>
      </w:r>
    </w:p>
    <w:p>
      <w:pPr>
        <w:spacing w:after="120" w:afterLines="50"/>
        <w:ind w:firstLine="643" w:firstLineChars="200"/>
        <w:jc w:val="center"/>
        <w:rPr>
          <w:rFonts w:ascii="Times New Roman" w:hAnsi="Times New Roman" w:eastAsia="仿宋_GB2312" w:cs="仿宋"/>
          <w:b/>
          <w:bCs/>
          <w:sz w:val="32"/>
          <w:szCs w:val="32"/>
        </w:rPr>
      </w:pPr>
      <w:r>
        <w:rPr>
          <w:rFonts w:hint="eastAsia" w:ascii="Times New Roman" w:hAnsi="Times New Roman" w:eastAsia="仿宋_GB2312" w:cs="仿宋"/>
          <w:b/>
          <w:bCs/>
          <w:sz w:val="32"/>
          <w:szCs w:val="32"/>
          <w:lang w:val="en-US" w:eastAsia="zh-CN"/>
        </w:rPr>
        <w:t>道路建设工程</w:t>
      </w:r>
      <w:r>
        <w:rPr>
          <w:rFonts w:hint="eastAsia" w:ascii="Times New Roman" w:hAnsi="Times New Roman" w:eastAsia="仿宋_GB2312" w:cs="仿宋"/>
          <w:b/>
          <w:bCs/>
          <w:sz w:val="32"/>
          <w:szCs w:val="32"/>
        </w:rPr>
        <w:t>项目</w:t>
      </w:r>
      <w:r>
        <w:rPr>
          <w:rFonts w:ascii="仿宋" w:hAnsi="仿宋" w:eastAsia="仿宋_GB2312" w:cs="仿宋"/>
          <w:b/>
          <w:bCs/>
          <w:sz w:val="32"/>
          <w:szCs w:val="32"/>
        </w:rPr>
        <w:t>满意度调查问卷</w:t>
      </w:r>
    </w:p>
    <w:p>
      <w:pPr>
        <w:ind w:firstLine="640" w:firstLineChars="200"/>
        <w:rPr>
          <w:rFonts w:ascii="仿宋" w:hAnsi="仿宋" w:eastAsia="仿宋_GB2312" w:cs="Times New Roman"/>
          <w:sz w:val="32"/>
          <w:szCs w:val="32"/>
        </w:rPr>
      </w:pPr>
      <w:r>
        <w:rPr>
          <w:rFonts w:ascii="仿宋" w:hAnsi="仿宋" w:eastAsia="仿宋_GB2312" w:cs="Times New Roman"/>
          <w:sz w:val="32"/>
          <w:szCs w:val="32"/>
        </w:rPr>
        <w:t>您好，我们是平陆县财政局组织并委托参与“</w:t>
      </w:r>
      <w:r>
        <w:rPr>
          <w:rFonts w:hint="eastAsia" w:ascii="Times New Roman" w:hAnsi="Times New Roman" w:eastAsia="仿宋_GB2312" w:cs="Times New Roman"/>
          <w:sz w:val="32"/>
          <w:szCs w:val="32"/>
        </w:rPr>
        <w:t>2019年平陆县圣人涧镇营村村一组至二组道路建设工程项目</w:t>
      </w:r>
      <w:r>
        <w:rPr>
          <w:rFonts w:ascii="仿宋" w:hAnsi="仿宋" w:eastAsia="仿宋_GB2312" w:cs="Times New Roman"/>
          <w:sz w:val="32"/>
          <w:szCs w:val="32"/>
        </w:rPr>
        <w:t>绩效评价”的工作人员。为了更加科学、合理的安排财政资金，增强财政资金产出和结果的经济性、效率性、效益性和公平性，我们组织了本次问卷调查，请根据您的实际情况，如实选择问卷答案，并在相应的选项前的□内打“√”。</w:t>
      </w:r>
    </w:p>
    <w:p>
      <w:pPr>
        <w:ind w:firstLine="640" w:firstLineChars="200"/>
        <w:rPr>
          <w:rFonts w:ascii="仿宋" w:hAnsi="仿宋" w:eastAsia="仿宋_GB2312" w:cs="Times New Roman"/>
          <w:sz w:val="32"/>
          <w:szCs w:val="32"/>
        </w:rPr>
      </w:pPr>
      <w:r>
        <w:rPr>
          <w:rFonts w:ascii="仿宋" w:hAnsi="仿宋" w:eastAsia="仿宋_GB2312" w:cs="Times New Roman"/>
          <w:sz w:val="32"/>
          <w:szCs w:val="32"/>
        </w:rPr>
        <w:t>感谢您对我们工作的支持。</w:t>
      </w:r>
    </w:p>
    <w:p>
      <w:pPr>
        <w:overflowPunct w:val="0"/>
        <w:ind w:firstLine="640" w:firstLineChars="200"/>
        <w:jc w:val="right"/>
        <w:rPr>
          <w:rFonts w:ascii="仿宋" w:hAnsi="仿宋" w:eastAsia="仿宋_GB2312" w:cs="Times New Roman"/>
          <w:sz w:val="32"/>
          <w:szCs w:val="32"/>
        </w:rPr>
      </w:pPr>
      <w:r>
        <w:rPr>
          <w:rFonts w:hint="eastAsia" w:ascii="仿宋" w:hAnsi="仿宋" w:eastAsia="仿宋_GB2312" w:cs="Times New Roman"/>
          <w:sz w:val="32"/>
          <w:szCs w:val="32"/>
        </w:rPr>
        <w:t xml:space="preserve">                   绩效评价工作组</w:t>
      </w:r>
    </w:p>
    <w:p>
      <w:pPr>
        <w:overflowPunct w:val="0"/>
        <w:ind w:firstLine="640" w:firstLineChars="200"/>
        <w:jc w:val="right"/>
        <w:rPr>
          <w:rFonts w:ascii="仿宋" w:hAnsi="仿宋" w:eastAsia="仿宋_GB2312" w:cs="Times New Roman"/>
          <w:sz w:val="32"/>
          <w:szCs w:val="32"/>
        </w:rPr>
      </w:pPr>
      <w:r>
        <w:rPr>
          <w:rFonts w:hint="eastAsia" w:ascii="仿宋" w:hAnsi="仿宋" w:eastAsia="仿宋_GB2312" w:cs="Times New Roman"/>
          <w:sz w:val="32"/>
          <w:szCs w:val="32"/>
        </w:rPr>
        <w:t xml:space="preserve">                  </w:t>
      </w:r>
      <w:r>
        <w:rPr>
          <w:rFonts w:ascii="Times New Roman" w:hAnsi="Times New Roman" w:eastAsia="仿宋_GB2312" w:cs="Times New Roman"/>
          <w:sz w:val="32"/>
          <w:szCs w:val="32"/>
        </w:rPr>
        <w:t>2020</w:t>
      </w:r>
      <w:r>
        <w:rPr>
          <w:rFonts w:ascii="仿宋" w:hAnsi="仿宋" w:eastAsia="仿宋_GB2312" w:cs="Times New Roman"/>
          <w:sz w:val="32"/>
          <w:szCs w:val="32"/>
        </w:rPr>
        <w:t>年</w:t>
      </w:r>
      <w:r>
        <w:rPr>
          <w:rFonts w:ascii="Times New Roman" w:hAnsi="Times New Roman" w:eastAsia="仿宋_GB2312" w:cs="Times New Roman"/>
          <w:sz w:val="32"/>
          <w:szCs w:val="32"/>
        </w:rPr>
        <w:t>9</w:t>
      </w:r>
      <w:r>
        <w:rPr>
          <w:rFonts w:ascii="仿宋" w:hAnsi="仿宋" w:eastAsia="仿宋_GB2312" w:cs="Times New Roman"/>
          <w:sz w:val="32"/>
          <w:szCs w:val="32"/>
        </w:rPr>
        <w:t>月</w:t>
      </w:r>
    </w:p>
    <w:bookmarkEnd w:id="93"/>
    <w:bookmarkEnd w:id="94"/>
    <w:bookmarkEnd w:id="95"/>
    <w:p>
      <w:pPr>
        <w:tabs>
          <w:tab w:val="left" w:pos="1250"/>
        </w:tabs>
        <w:rPr>
          <w:rFonts w:ascii="楷体" w:hAnsi="楷体" w:eastAsia="楷体" w:cs="仿宋"/>
          <w:bCs/>
          <w:sz w:val="32"/>
          <w:szCs w:val="32"/>
        </w:rPr>
      </w:pPr>
      <w:bookmarkStart w:id="96" w:name="_Toc26393"/>
      <w:r>
        <w:rPr>
          <w:rFonts w:hint="eastAsia" w:ascii="楷体" w:hAnsi="楷体" w:eastAsia="楷体" w:cs="仿宋"/>
          <w:bCs/>
          <w:sz w:val="32"/>
          <w:szCs w:val="32"/>
        </w:rPr>
        <w:t>一、基本问题</w:t>
      </w:r>
    </w:p>
    <w:p>
      <w:pPr>
        <w:tabs>
          <w:tab w:val="left" w:pos="1250"/>
        </w:tabs>
        <w:rPr>
          <w:rFonts w:ascii="仿宋" w:hAnsi="仿宋" w:eastAsia="仿宋_GB2312" w:cs="仿宋"/>
          <w:bCs/>
          <w:sz w:val="32"/>
          <w:szCs w:val="32"/>
        </w:rPr>
      </w:pPr>
      <w:r>
        <w:rPr>
          <w:rFonts w:hint="eastAsia" w:ascii="仿宋" w:hAnsi="仿宋" w:eastAsia="仿宋_GB2312" w:cs="仿宋"/>
          <w:bCs/>
          <w:sz w:val="32"/>
          <w:szCs w:val="32"/>
        </w:rPr>
        <w:t>1</w:t>
      </w:r>
      <w:r>
        <w:rPr>
          <w:rFonts w:ascii="仿宋" w:hAnsi="仿宋" w:eastAsia="仿宋_GB2312" w:cs="仿宋"/>
          <w:bCs/>
          <w:sz w:val="32"/>
          <w:szCs w:val="32"/>
        </w:rPr>
        <w:t>.</w:t>
      </w:r>
      <w:r>
        <w:rPr>
          <w:rFonts w:hint="eastAsia" w:ascii="仿宋" w:hAnsi="仿宋" w:eastAsia="仿宋_GB2312" w:cs="仿宋"/>
          <w:bCs/>
          <w:sz w:val="32"/>
          <w:szCs w:val="32"/>
        </w:rPr>
        <w:t>您</w:t>
      </w:r>
      <w:r>
        <w:rPr>
          <w:rFonts w:hint="eastAsia" w:ascii="仿宋" w:hAnsi="仿宋" w:eastAsia="仿宋_GB2312" w:cs="仿宋"/>
          <w:bCs/>
          <w:sz w:val="32"/>
          <w:szCs w:val="32"/>
          <w:lang w:val="en-US" w:eastAsia="zh-CN"/>
        </w:rPr>
        <w:t>在</w:t>
      </w:r>
      <w:r>
        <w:rPr>
          <w:rFonts w:hint="eastAsia" w:ascii="仿宋" w:hAnsi="仿宋" w:eastAsia="仿宋_GB2312" w:cs="仿宋"/>
          <w:bCs/>
          <w:sz w:val="32"/>
          <w:szCs w:val="32"/>
        </w:rPr>
        <w:t>本地生活的时间：</w:t>
      </w:r>
    </w:p>
    <w:p>
      <w:pPr>
        <w:tabs>
          <w:tab w:val="left" w:pos="1250"/>
        </w:tabs>
        <w:rPr>
          <w:rFonts w:ascii="仿宋" w:hAnsi="仿宋" w:eastAsia="仿宋_GB2312" w:cs="仿宋"/>
          <w:bCs/>
          <w:sz w:val="32"/>
          <w:szCs w:val="32"/>
        </w:rPr>
      </w:pPr>
      <w:r>
        <w:rPr>
          <w:rFonts w:hint="eastAsia" w:ascii="仿宋" w:hAnsi="仿宋" w:eastAsia="仿宋_GB2312" w:cs="仿宋"/>
          <w:bCs/>
          <w:sz w:val="32"/>
          <w:szCs w:val="32"/>
        </w:rPr>
        <w:t>A 、</w:t>
      </w:r>
      <w:r>
        <w:rPr>
          <w:rFonts w:hint="eastAsia" w:ascii="Times New Roman" w:hAnsi="Times New Roman" w:eastAsia="仿宋_GB2312" w:cs="Times New Roman"/>
          <w:sz w:val="32"/>
          <w:szCs w:val="32"/>
        </w:rPr>
        <w:t>1</w:t>
      </w:r>
      <w:r>
        <w:rPr>
          <w:rFonts w:hint="eastAsia" w:ascii="仿宋" w:hAnsi="仿宋" w:eastAsia="仿宋_GB2312" w:cs="仿宋"/>
          <w:bCs/>
          <w:sz w:val="32"/>
          <w:szCs w:val="32"/>
        </w:rPr>
        <w:t>年及以下    B 、</w:t>
      </w:r>
      <w:r>
        <w:rPr>
          <w:rFonts w:hint="eastAsia" w:ascii="Times New Roman" w:hAnsi="Times New Roman" w:eastAsia="仿宋_GB2312" w:cs="Times New Roman"/>
          <w:sz w:val="32"/>
          <w:szCs w:val="32"/>
        </w:rPr>
        <w:t>2</w:t>
      </w:r>
      <w:r>
        <w:rPr>
          <w:rFonts w:hint="eastAsia" w:ascii="仿宋" w:hAnsi="仿宋" w:eastAsia="仿宋_GB2312" w:cs="仿宋"/>
          <w:bCs/>
          <w:sz w:val="32"/>
          <w:szCs w:val="32"/>
        </w:rPr>
        <w:t>-</w:t>
      </w:r>
      <w:r>
        <w:rPr>
          <w:rFonts w:hint="eastAsia" w:ascii="Times New Roman" w:hAnsi="Times New Roman" w:eastAsia="仿宋_GB2312" w:cs="Times New Roman"/>
          <w:sz w:val="32"/>
          <w:szCs w:val="32"/>
        </w:rPr>
        <w:t>5</w:t>
      </w:r>
      <w:r>
        <w:rPr>
          <w:rFonts w:hint="eastAsia" w:ascii="仿宋" w:hAnsi="仿宋" w:eastAsia="仿宋_GB2312" w:cs="仿宋"/>
          <w:bCs/>
          <w:sz w:val="32"/>
          <w:szCs w:val="32"/>
        </w:rPr>
        <w:t>年   C 、</w:t>
      </w:r>
      <w:r>
        <w:rPr>
          <w:rFonts w:hint="eastAsia" w:ascii="Times New Roman" w:hAnsi="Times New Roman" w:eastAsia="仿宋_GB2312" w:cs="Times New Roman"/>
          <w:sz w:val="32"/>
          <w:szCs w:val="32"/>
        </w:rPr>
        <w:t>6</w:t>
      </w:r>
      <w:r>
        <w:rPr>
          <w:rFonts w:hint="eastAsia" w:ascii="仿宋" w:hAnsi="仿宋" w:eastAsia="仿宋_GB2312" w:cs="仿宋"/>
          <w:bCs/>
          <w:sz w:val="32"/>
          <w:szCs w:val="32"/>
        </w:rPr>
        <w:t xml:space="preserve">年及以上   </w:t>
      </w:r>
    </w:p>
    <w:p>
      <w:pPr>
        <w:tabs>
          <w:tab w:val="left" w:pos="1250"/>
        </w:tabs>
        <w:rPr>
          <w:rFonts w:ascii="仿宋" w:hAnsi="仿宋" w:eastAsia="仿宋_GB2312" w:cs="仿宋"/>
          <w:bCs/>
          <w:sz w:val="32"/>
          <w:szCs w:val="32"/>
        </w:rPr>
      </w:pPr>
      <w:r>
        <w:rPr>
          <w:rFonts w:hint="eastAsia" w:ascii="仿宋" w:hAnsi="仿宋" w:eastAsia="仿宋_GB2312" w:cs="仿宋"/>
          <w:bCs/>
          <w:sz w:val="32"/>
          <w:szCs w:val="32"/>
        </w:rPr>
        <w:t>2.您的</w:t>
      </w:r>
      <w:r>
        <w:rPr>
          <w:rFonts w:hint="eastAsia" w:ascii="仿宋" w:hAnsi="仿宋" w:eastAsia="仿宋_GB2312" w:cs="仿宋"/>
          <w:bCs/>
          <w:sz w:val="32"/>
          <w:szCs w:val="32"/>
          <w:lang w:val="en-US" w:eastAsia="zh-CN"/>
        </w:rPr>
        <w:t>年龄</w:t>
      </w:r>
      <w:r>
        <w:rPr>
          <w:rFonts w:hint="eastAsia" w:ascii="仿宋" w:hAnsi="仿宋" w:eastAsia="仿宋_GB2312" w:cs="仿宋"/>
          <w:bCs/>
          <w:sz w:val="32"/>
          <w:szCs w:val="32"/>
        </w:rPr>
        <w:t xml:space="preserve">： </w:t>
      </w:r>
    </w:p>
    <w:p>
      <w:pPr>
        <w:tabs>
          <w:tab w:val="left" w:pos="1250"/>
        </w:tabs>
        <w:rPr>
          <w:rFonts w:ascii="仿宋" w:hAnsi="仿宋" w:eastAsia="仿宋_GB2312" w:cs="仿宋"/>
          <w:bCs/>
          <w:sz w:val="32"/>
          <w:szCs w:val="32"/>
        </w:rPr>
      </w:pPr>
      <w:r>
        <w:rPr>
          <w:rFonts w:hint="eastAsia" w:ascii="仿宋" w:hAnsi="仿宋" w:eastAsia="仿宋_GB2312" w:cs="仿宋"/>
          <w:bCs/>
          <w:sz w:val="32"/>
          <w:szCs w:val="32"/>
        </w:rPr>
        <w:t>A、</w:t>
      </w:r>
      <w:r>
        <w:rPr>
          <w:rFonts w:hint="eastAsia" w:ascii="Times New Roman" w:hAnsi="Times New Roman" w:eastAsia="仿宋_GB2312" w:cs="Times New Roman"/>
          <w:sz w:val="32"/>
          <w:szCs w:val="32"/>
        </w:rPr>
        <w:t>18</w:t>
      </w:r>
      <w:r>
        <w:rPr>
          <w:rFonts w:hint="eastAsia" w:ascii="仿宋" w:hAnsi="仿宋" w:eastAsia="仿宋_GB2312" w:cs="仿宋"/>
          <w:bCs/>
          <w:sz w:val="32"/>
          <w:szCs w:val="32"/>
        </w:rPr>
        <w:t>-</w:t>
      </w:r>
      <w:r>
        <w:rPr>
          <w:rFonts w:hint="eastAsia" w:ascii="Times New Roman" w:hAnsi="Times New Roman" w:eastAsia="仿宋_GB2312" w:cs="Times New Roman"/>
          <w:sz w:val="32"/>
          <w:szCs w:val="32"/>
        </w:rPr>
        <w:t>30</w:t>
      </w:r>
      <w:r>
        <w:rPr>
          <w:rFonts w:hint="eastAsia" w:ascii="仿宋" w:hAnsi="仿宋" w:eastAsia="仿宋_GB2312" w:cs="仿宋"/>
          <w:bCs/>
          <w:sz w:val="32"/>
          <w:szCs w:val="32"/>
        </w:rPr>
        <w:t>岁   B 、</w:t>
      </w:r>
      <w:r>
        <w:rPr>
          <w:rFonts w:hint="eastAsia" w:ascii="Times New Roman" w:hAnsi="Times New Roman" w:eastAsia="仿宋_GB2312" w:cs="Times New Roman"/>
          <w:sz w:val="32"/>
          <w:szCs w:val="32"/>
        </w:rPr>
        <w:t>31</w:t>
      </w:r>
      <w:r>
        <w:rPr>
          <w:rFonts w:hint="eastAsia" w:ascii="仿宋" w:hAnsi="仿宋" w:eastAsia="仿宋_GB2312" w:cs="仿宋"/>
          <w:bCs/>
          <w:sz w:val="32"/>
          <w:szCs w:val="32"/>
        </w:rPr>
        <w:t>-</w:t>
      </w:r>
      <w:r>
        <w:rPr>
          <w:rFonts w:hint="eastAsia" w:ascii="Times New Roman" w:hAnsi="Times New Roman" w:eastAsia="仿宋_GB2312" w:cs="Times New Roman"/>
          <w:sz w:val="32"/>
          <w:szCs w:val="32"/>
        </w:rPr>
        <w:t>45</w:t>
      </w:r>
      <w:r>
        <w:rPr>
          <w:rFonts w:hint="eastAsia" w:ascii="仿宋" w:hAnsi="仿宋" w:eastAsia="仿宋_GB2312" w:cs="仿宋"/>
          <w:bCs/>
          <w:sz w:val="32"/>
          <w:szCs w:val="32"/>
        </w:rPr>
        <w:t>岁  C 、</w:t>
      </w:r>
      <w:r>
        <w:rPr>
          <w:rFonts w:hint="eastAsia" w:ascii="Times New Roman" w:hAnsi="Times New Roman" w:eastAsia="仿宋_GB2312" w:cs="Times New Roman"/>
          <w:sz w:val="32"/>
          <w:szCs w:val="32"/>
        </w:rPr>
        <w:t>46</w:t>
      </w:r>
      <w:r>
        <w:rPr>
          <w:rFonts w:hint="eastAsia" w:ascii="仿宋" w:hAnsi="仿宋" w:eastAsia="仿宋_GB2312" w:cs="仿宋"/>
          <w:bCs/>
          <w:sz w:val="32"/>
          <w:szCs w:val="32"/>
        </w:rPr>
        <w:t>-</w:t>
      </w:r>
      <w:r>
        <w:rPr>
          <w:rFonts w:hint="eastAsia" w:ascii="Times New Roman" w:hAnsi="Times New Roman" w:eastAsia="仿宋_GB2312" w:cs="Times New Roman"/>
          <w:sz w:val="32"/>
          <w:szCs w:val="32"/>
        </w:rPr>
        <w:t>60</w:t>
      </w:r>
      <w:r>
        <w:rPr>
          <w:rFonts w:hint="eastAsia" w:ascii="仿宋" w:hAnsi="仿宋" w:eastAsia="仿宋_GB2312" w:cs="仿宋"/>
          <w:bCs/>
          <w:sz w:val="32"/>
          <w:szCs w:val="32"/>
        </w:rPr>
        <w:t>岁   D 、</w:t>
      </w:r>
      <w:r>
        <w:rPr>
          <w:rFonts w:hint="eastAsia" w:ascii="Times New Roman" w:hAnsi="Times New Roman" w:eastAsia="仿宋_GB2312" w:cs="Times New Roman"/>
          <w:sz w:val="32"/>
          <w:szCs w:val="32"/>
        </w:rPr>
        <w:t>61</w:t>
      </w:r>
      <w:r>
        <w:rPr>
          <w:rFonts w:hint="eastAsia" w:ascii="仿宋" w:hAnsi="仿宋" w:eastAsia="仿宋_GB2312" w:cs="仿宋"/>
          <w:bCs/>
          <w:sz w:val="32"/>
          <w:szCs w:val="32"/>
        </w:rPr>
        <w:t>岁及以上</w:t>
      </w:r>
    </w:p>
    <w:p>
      <w:pPr>
        <w:tabs>
          <w:tab w:val="left" w:pos="1250"/>
        </w:tabs>
        <w:rPr>
          <w:rFonts w:ascii="仿宋" w:hAnsi="仿宋" w:eastAsia="仿宋_GB2312" w:cs="仿宋"/>
          <w:bCs/>
          <w:sz w:val="32"/>
          <w:szCs w:val="32"/>
        </w:rPr>
      </w:pPr>
      <w:r>
        <w:rPr>
          <w:rFonts w:hint="eastAsia" w:ascii="仿宋" w:hAnsi="仿宋" w:eastAsia="仿宋_GB2312" w:cs="仿宋"/>
          <w:bCs/>
          <w:sz w:val="32"/>
          <w:szCs w:val="32"/>
        </w:rPr>
        <w:t>3.您了解平陆县</w:t>
      </w:r>
      <w:r>
        <w:rPr>
          <w:rFonts w:hint="eastAsia" w:ascii="仿宋" w:hAnsi="仿宋" w:eastAsia="仿宋_GB2312" w:cs="仿宋"/>
          <w:bCs/>
          <w:sz w:val="32"/>
          <w:szCs w:val="32"/>
          <w:lang w:val="en-US" w:eastAsia="zh-CN"/>
        </w:rPr>
        <w:t>圣人涧镇营村村一组至二组道路</w:t>
      </w:r>
      <w:r>
        <w:rPr>
          <w:rFonts w:hint="eastAsia" w:ascii="仿宋" w:hAnsi="仿宋" w:eastAsia="仿宋_GB2312" w:cs="仿宋"/>
          <w:bCs/>
          <w:sz w:val="32"/>
          <w:szCs w:val="32"/>
        </w:rPr>
        <w:t>建设</w:t>
      </w:r>
      <w:r>
        <w:rPr>
          <w:rFonts w:hint="eastAsia" w:ascii="仿宋" w:hAnsi="仿宋" w:eastAsia="仿宋_GB2312" w:cs="仿宋"/>
          <w:bCs/>
          <w:sz w:val="32"/>
          <w:szCs w:val="32"/>
          <w:lang w:val="en-US" w:eastAsia="zh-CN"/>
        </w:rPr>
        <w:t>工程</w:t>
      </w:r>
      <w:r>
        <w:rPr>
          <w:rFonts w:hint="eastAsia" w:ascii="仿宋" w:hAnsi="仿宋" w:eastAsia="仿宋_GB2312" w:cs="仿宋"/>
          <w:bCs/>
          <w:sz w:val="32"/>
          <w:szCs w:val="32"/>
        </w:rPr>
        <w:t>项目吗？</w:t>
      </w:r>
    </w:p>
    <w:p>
      <w:pPr>
        <w:tabs>
          <w:tab w:val="left" w:pos="1250"/>
        </w:tabs>
        <w:rPr>
          <w:rFonts w:ascii="仿宋" w:hAnsi="仿宋" w:eastAsia="仿宋_GB2312" w:cs="仿宋"/>
          <w:bCs/>
          <w:sz w:val="32"/>
          <w:szCs w:val="32"/>
        </w:rPr>
      </w:pPr>
      <w:r>
        <w:rPr>
          <w:rFonts w:hint="eastAsia" w:ascii="仿宋" w:hAnsi="仿宋" w:eastAsia="仿宋_GB2312" w:cs="仿宋"/>
          <w:bCs/>
          <w:sz w:val="32"/>
          <w:szCs w:val="32"/>
        </w:rPr>
        <w:t>A、非常了解   B、了解   C、一般   D、不了解    E、没听过</w:t>
      </w:r>
    </w:p>
    <w:p>
      <w:pPr>
        <w:tabs>
          <w:tab w:val="left" w:pos="1250"/>
        </w:tabs>
        <w:rPr>
          <w:rFonts w:ascii="楷体" w:hAnsi="楷体" w:eastAsia="楷体" w:cs="仿宋"/>
          <w:bCs/>
          <w:sz w:val="32"/>
          <w:szCs w:val="32"/>
        </w:rPr>
      </w:pPr>
      <w:r>
        <w:rPr>
          <w:rFonts w:hint="eastAsia" w:ascii="楷体" w:hAnsi="楷体" w:eastAsia="楷体" w:cs="仿宋"/>
          <w:bCs/>
          <w:sz w:val="32"/>
          <w:szCs w:val="32"/>
        </w:rPr>
        <w:t>二</w:t>
      </w:r>
      <w:r>
        <w:rPr>
          <w:rFonts w:ascii="楷体" w:hAnsi="楷体" w:eastAsia="楷体" w:cs="仿宋"/>
          <w:bCs/>
          <w:sz w:val="32"/>
          <w:szCs w:val="32"/>
        </w:rPr>
        <w:t>、满意度问题</w:t>
      </w:r>
    </w:p>
    <w:p>
      <w:pPr>
        <w:tabs>
          <w:tab w:val="left" w:pos="1250"/>
        </w:tabs>
        <w:rPr>
          <w:rFonts w:ascii="仿宋" w:hAnsi="仿宋" w:eastAsia="仿宋_GB2312" w:cs="仿宋"/>
          <w:bCs/>
          <w:sz w:val="32"/>
          <w:szCs w:val="32"/>
        </w:rPr>
      </w:pPr>
      <w:r>
        <w:rPr>
          <w:rFonts w:ascii="仿宋" w:hAnsi="仿宋" w:eastAsia="仿宋_GB2312" w:cs="仿宋"/>
          <w:bCs/>
          <w:sz w:val="32"/>
          <w:szCs w:val="32"/>
        </w:rPr>
        <w:t>1.</w:t>
      </w:r>
      <w:r>
        <w:rPr>
          <w:rFonts w:hint="eastAsia" w:ascii="仿宋" w:hAnsi="仿宋" w:eastAsia="仿宋_GB2312" w:cs="仿宋"/>
          <w:bCs/>
          <w:sz w:val="32"/>
          <w:szCs w:val="32"/>
        </w:rPr>
        <w:t>您对</w:t>
      </w:r>
      <w:r>
        <w:rPr>
          <w:rFonts w:hint="eastAsia" w:ascii="仿宋" w:hAnsi="仿宋" w:eastAsia="仿宋_GB2312" w:cs="仿宋"/>
          <w:bCs/>
          <w:sz w:val="32"/>
          <w:szCs w:val="32"/>
          <w:lang w:val="en-US" w:eastAsia="zh-CN"/>
        </w:rPr>
        <w:t>圣人涧镇营村村一组至二组道路</w:t>
      </w:r>
      <w:r>
        <w:rPr>
          <w:rFonts w:hint="eastAsia" w:ascii="仿宋" w:hAnsi="仿宋" w:eastAsia="仿宋_GB2312" w:cs="仿宋"/>
          <w:bCs/>
          <w:sz w:val="32"/>
          <w:szCs w:val="32"/>
        </w:rPr>
        <w:t>建设</w:t>
      </w:r>
      <w:r>
        <w:rPr>
          <w:rFonts w:hint="eastAsia" w:ascii="仿宋" w:hAnsi="仿宋" w:eastAsia="仿宋_GB2312" w:cs="仿宋"/>
          <w:bCs/>
          <w:sz w:val="32"/>
          <w:szCs w:val="32"/>
          <w:lang w:val="en-US" w:eastAsia="zh-CN"/>
        </w:rPr>
        <w:t>工程</w:t>
      </w:r>
      <w:r>
        <w:rPr>
          <w:rFonts w:hint="eastAsia" w:ascii="仿宋" w:hAnsi="仿宋" w:eastAsia="仿宋_GB2312" w:cs="仿宋"/>
          <w:bCs/>
          <w:sz w:val="32"/>
          <w:szCs w:val="32"/>
        </w:rPr>
        <w:t>项目</w:t>
      </w:r>
      <w:r>
        <w:rPr>
          <w:rFonts w:hint="eastAsia" w:ascii="仿宋" w:hAnsi="仿宋" w:eastAsia="仿宋_GB2312" w:cs="仿宋"/>
          <w:bCs/>
          <w:sz w:val="32"/>
          <w:szCs w:val="32"/>
          <w:lang w:val="en-US" w:eastAsia="zh-CN"/>
        </w:rPr>
        <w:t>得总体效果</w:t>
      </w:r>
      <w:r>
        <w:rPr>
          <w:rFonts w:hint="eastAsia" w:ascii="仿宋" w:hAnsi="仿宋" w:eastAsia="仿宋_GB2312" w:cs="仿宋"/>
          <w:bCs/>
          <w:sz w:val="32"/>
          <w:szCs w:val="32"/>
        </w:rPr>
        <w:t>是否满意?</w:t>
      </w:r>
    </w:p>
    <w:p>
      <w:pPr>
        <w:tabs>
          <w:tab w:val="left" w:pos="1250"/>
        </w:tabs>
        <w:rPr>
          <w:rFonts w:ascii="仿宋" w:hAnsi="仿宋" w:eastAsia="仿宋_GB2312" w:cs="仿宋"/>
          <w:bCs/>
          <w:sz w:val="32"/>
          <w:szCs w:val="32"/>
        </w:rPr>
      </w:pPr>
      <w:r>
        <w:rPr>
          <w:rFonts w:ascii="仿宋" w:hAnsi="仿宋" w:eastAsia="仿宋_GB2312" w:cs="仿宋"/>
          <w:bCs/>
          <w:sz w:val="32"/>
          <w:szCs w:val="32"/>
        </w:rPr>
        <w:t>□非常满意  □满意  □一般  □不满意 □很不满意</w:t>
      </w:r>
    </w:p>
    <w:p>
      <w:pPr>
        <w:tabs>
          <w:tab w:val="left" w:pos="1250"/>
        </w:tabs>
        <w:rPr>
          <w:rFonts w:ascii="仿宋" w:hAnsi="仿宋" w:eastAsia="仿宋_GB2312" w:cs="仿宋"/>
          <w:bCs/>
          <w:sz w:val="32"/>
          <w:szCs w:val="32"/>
        </w:rPr>
      </w:pPr>
      <w:r>
        <w:rPr>
          <w:rFonts w:ascii="仿宋" w:hAnsi="仿宋" w:eastAsia="仿宋_GB2312" w:cs="仿宋"/>
          <w:bCs/>
          <w:sz w:val="32"/>
          <w:szCs w:val="32"/>
        </w:rPr>
        <w:t>2.</w:t>
      </w:r>
      <w:r>
        <w:rPr>
          <w:rFonts w:hint="eastAsia" w:ascii="仿宋" w:hAnsi="仿宋" w:eastAsia="仿宋_GB2312" w:cs="仿宋"/>
          <w:bCs/>
          <w:sz w:val="32"/>
          <w:szCs w:val="32"/>
        </w:rPr>
        <w:t>您认为</w:t>
      </w:r>
      <w:r>
        <w:rPr>
          <w:rFonts w:hint="eastAsia" w:ascii="仿宋" w:hAnsi="仿宋" w:eastAsia="仿宋_GB2312" w:cs="仿宋"/>
          <w:bCs/>
          <w:sz w:val="32"/>
          <w:szCs w:val="32"/>
          <w:lang w:val="en-US" w:eastAsia="zh-CN"/>
        </w:rPr>
        <w:t>圣人涧镇营村村一组至二组道路</w:t>
      </w:r>
      <w:r>
        <w:rPr>
          <w:rFonts w:hint="eastAsia" w:ascii="仿宋" w:hAnsi="仿宋" w:eastAsia="仿宋_GB2312" w:cs="仿宋"/>
          <w:bCs/>
          <w:sz w:val="32"/>
          <w:szCs w:val="32"/>
        </w:rPr>
        <w:t>建设</w:t>
      </w:r>
      <w:r>
        <w:rPr>
          <w:rFonts w:hint="eastAsia" w:ascii="仿宋" w:hAnsi="仿宋" w:eastAsia="仿宋_GB2312" w:cs="仿宋"/>
          <w:bCs/>
          <w:sz w:val="32"/>
          <w:szCs w:val="32"/>
          <w:lang w:val="en-US" w:eastAsia="zh-CN"/>
        </w:rPr>
        <w:t>工程</w:t>
      </w:r>
      <w:r>
        <w:rPr>
          <w:rFonts w:hint="eastAsia" w:ascii="仿宋" w:hAnsi="仿宋" w:eastAsia="仿宋_GB2312" w:cs="仿宋"/>
          <w:bCs/>
          <w:sz w:val="32"/>
          <w:szCs w:val="32"/>
        </w:rPr>
        <w:t>项目</w:t>
      </w:r>
      <w:r>
        <w:rPr>
          <w:rFonts w:hint="eastAsia" w:ascii="仿宋" w:hAnsi="仿宋" w:eastAsia="仿宋_GB2312" w:cs="仿宋"/>
          <w:bCs/>
          <w:sz w:val="32"/>
          <w:szCs w:val="32"/>
          <w:lang w:val="en-US" w:eastAsia="zh-CN"/>
        </w:rPr>
        <w:t>改善群众出行条件</w:t>
      </w:r>
      <w:r>
        <w:rPr>
          <w:rFonts w:hint="eastAsia" w:ascii="仿宋" w:hAnsi="仿宋" w:eastAsia="仿宋_GB2312" w:cs="仿宋"/>
          <w:bCs/>
          <w:sz w:val="32"/>
          <w:szCs w:val="32"/>
        </w:rPr>
        <w:t>是否满意？</w:t>
      </w:r>
    </w:p>
    <w:p>
      <w:pPr>
        <w:tabs>
          <w:tab w:val="left" w:pos="1250"/>
        </w:tabs>
        <w:rPr>
          <w:rFonts w:ascii="仿宋" w:hAnsi="仿宋" w:eastAsia="仿宋_GB2312" w:cs="仿宋"/>
          <w:bCs/>
          <w:sz w:val="32"/>
          <w:szCs w:val="32"/>
        </w:rPr>
      </w:pPr>
      <w:r>
        <w:rPr>
          <w:rFonts w:ascii="仿宋" w:hAnsi="仿宋" w:eastAsia="仿宋_GB2312" w:cs="仿宋"/>
          <w:bCs/>
          <w:sz w:val="32"/>
          <w:szCs w:val="32"/>
        </w:rPr>
        <w:t>□非常满意  □满意  □一般  □不满意 □很不满意</w:t>
      </w:r>
    </w:p>
    <w:p>
      <w:pPr>
        <w:tabs>
          <w:tab w:val="left" w:pos="1250"/>
        </w:tabs>
        <w:rPr>
          <w:rFonts w:ascii="仿宋" w:hAnsi="仿宋" w:eastAsia="仿宋_GB2312" w:cs="仿宋"/>
          <w:bCs/>
          <w:sz w:val="32"/>
          <w:szCs w:val="32"/>
        </w:rPr>
      </w:pPr>
      <w:r>
        <w:rPr>
          <w:rFonts w:hint="eastAsia" w:ascii="仿宋" w:hAnsi="仿宋" w:eastAsia="仿宋_GB2312" w:cs="仿宋"/>
          <w:bCs/>
          <w:sz w:val="32"/>
          <w:szCs w:val="32"/>
        </w:rPr>
        <w:t>3</w:t>
      </w:r>
      <w:r>
        <w:rPr>
          <w:rFonts w:ascii="仿宋" w:hAnsi="仿宋" w:eastAsia="仿宋_GB2312" w:cs="仿宋"/>
          <w:bCs/>
          <w:sz w:val="32"/>
          <w:szCs w:val="32"/>
        </w:rPr>
        <w:t>.</w:t>
      </w:r>
      <w:r>
        <w:rPr>
          <w:rFonts w:hint="eastAsia" w:ascii="仿宋" w:hAnsi="仿宋" w:eastAsia="仿宋_GB2312" w:cs="仿宋"/>
          <w:bCs/>
          <w:sz w:val="32"/>
          <w:szCs w:val="32"/>
        </w:rPr>
        <w:t>您认为</w:t>
      </w:r>
      <w:r>
        <w:rPr>
          <w:rFonts w:hint="eastAsia" w:ascii="仿宋" w:hAnsi="仿宋" w:eastAsia="仿宋_GB2312" w:cs="仿宋"/>
          <w:bCs/>
          <w:sz w:val="32"/>
          <w:szCs w:val="32"/>
          <w:lang w:val="en-US" w:eastAsia="zh-CN"/>
        </w:rPr>
        <w:t>圣人涧镇营村村一组至二组道路</w:t>
      </w:r>
      <w:r>
        <w:rPr>
          <w:rFonts w:hint="eastAsia" w:ascii="仿宋" w:hAnsi="仿宋" w:eastAsia="仿宋_GB2312" w:cs="仿宋"/>
          <w:bCs/>
          <w:sz w:val="32"/>
          <w:szCs w:val="32"/>
        </w:rPr>
        <w:t>建设</w:t>
      </w:r>
      <w:r>
        <w:rPr>
          <w:rFonts w:hint="eastAsia" w:ascii="仿宋" w:hAnsi="仿宋" w:eastAsia="仿宋_GB2312" w:cs="仿宋"/>
          <w:bCs/>
          <w:sz w:val="32"/>
          <w:szCs w:val="32"/>
          <w:lang w:val="en-US" w:eastAsia="zh-CN"/>
        </w:rPr>
        <w:t>工程</w:t>
      </w:r>
      <w:r>
        <w:rPr>
          <w:rFonts w:hint="eastAsia" w:ascii="仿宋" w:hAnsi="仿宋" w:eastAsia="仿宋_GB2312" w:cs="仿宋"/>
          <w:bCs/>
          <w:sz w:val="32"/>
          <w:szCs w:val="32"/>
        </w:rPr>
        <w:t>项目</w:t>
      </w:r>
      <w:r>
        <w:rPr>
          <w:rFonts w:hint="eastAsia" w:ascii="仿宋" w:hAnsi="仿宋" w:eastAsia="仿宋_GB2312" w:cs="仿宋"/>
          <w:bCs/>
          <w:sz w:val="32"/>
          <w:szCs w:val="32"/>
          <w:lang w:val="en-US" w:eastAsia="zh-CN"/>
        </w:rPr>
        <w:t>改善村民生产生活条件</w:t>
      </w:r>
      <w:r>
        <w:rPr>
          <w:rFonts w:hint="eastAsia" w:ascii="仿宋" w:hAnsi="仿宋" w:eastAsia="仿宋_GB2312" w:cs="仿宋"/>
          <w:bCs/>
          <w:sz w:val="32"/>
          <w:szCs w:val="32"/>
        </w:rPr>
        <w:t>是否满意?</w:t>
      </w:r>
    </w:p>
    <w:p>
      <w:pPr>
        <w:tabs>
          <w:tab w:val="left" w:pos="1250"/>
        </w:tabs>
        <w:rPr>
          <w:rFonts w:ascii="仿宋" w:hAnsi="仿宋" w:eastAsia="仿宋_GB2312" w:cs="仿宋"/>
          <w:bCs/>
          <w:sz w:val="32"/>
          <w:szCs w:val="32"/>
        </w:rPr>
      </w:pPr>
      <w:r>
        <w:rPr>
          <w:rFonts w:ascii="仿宋" w:hAnsi="仿宋" w:eastAsia="仿宋_GB2312" w:cs="仿宋"/>
          <w:bCs/>
          <w:sz w:val="32"/>
          <w:szCs w:val="32"/>
        </w:rPr>
        <w:t xml:space="preserve">□非常满意  </w:t>
      </w:r>
      <w:r>
        <w:rPr>
          <w:rFonts w:ascii="仿宋" w:hAnsi="仿宋" w:eastAsia="仿宋_GB2312" w:cs="仿宋"/>
          <w:bCs/>
          <w:sz w:val="32"/>
          <w:szCs w:val="32"/>
        </w:rPr>
        <w:sym w:font="Wingdings 2" w:char="0052"/>
      </w:r>
      <w:r>
        <w:rPr>
          <w:rFonts w:ascii="仿宋" w:hAnsi="仿宋" w:eastAsia="仿宋_GB2312" w:cs="仿宋"/>
          <w:bCs/>
          <w:sz w:val="32"/>
          <w:szCs w:val="32"/>
        </w:rPr>
        <w:t>满意  □一般  □不满意 □很不满意</w:t>
      </w:r>
    </w:p>
    <w:p>
      <w:pPr>
        <w:tabs>
          <w:tab w:val="left" w:pos="1250"/>
        </w:tabs>
        <w:rPr>
          <w:rFonts w:ascii="仿宋" w:hAnsi="仿宋" w:eastAsia="仿宋_GB2312" w:cs="仿宋"/>
          <w:bCs/>
          <w:sz w:val="32"/>
          <w:szCs w:val="32"/>
        </w:rPr>
      </w:pPr>
      <w:r>
        <w:rPr>
          <w:rFonts w:hint="eastAsia" w:ascii="仿宋" w:hAnsi="仿宋" w:eastAsia="仿宋_GB2312" w:cs="仿宋"/>
          <w:bCs/>
          <w:sz w:val="32"/>
          <w:szCs w:val="32"/>
        </w:rPr>
        <w:t>4</w:t>
      </w:r>
      <w:r>
        <w:rPr>
          <w:rFonts w:ascii="仿宋" w:hAnsi="仿宋" w:eastAsia="仿宋_GB2312" w:cs="仿宋"/>
          <w:bCs/>
          <w:sz w:val="32"/>
          <w:szCs w:val="32"/>
        </w:rPr>
        <w:t>.您</w:t>
      </w:r>
      <w:r>
        <w:rPr>
          <w:rFonts w:hint="eastAsia" w:ascii="仿宋" w:hAnsi="仿宋" w:eastAsia="仿宋_GB2312" w:cs="仿宋"/>
          <w:bCs/>
          <w:sz w:val="32"/>
          <w:szCs w:val="32"/>
        </w:rPr>
        <w:t>认为</w:t>
      </w:r>
      <w:r>
        <w:rPr>
          <w:rFonts w:hint="eastAsia" w:ascii="仿宋" w:hAnsi="仿宋" w:eastAsia="仿宋_GB2312" w:cs="仿宋"/>
          <w:bCs/>
          <w:sz w:val="32"/>
          <w:szCs w:val="32"/>
          <w:lang w:val="en-US" w:eastAsia="zh-CN"/>
        </w:rPr>
        <w:t>圣人涧镇营村村一组至二组道路</w:t>
      </w:r>
      <w:r>
        <w:rPr>
          <w:rFonts w:hint="eastAsia" w:ascii="仿宋" w:hAnsi="仿宋" w:eastAsia="仿宋_GB2312" w:cs="仿宋"/>
          <w:bCs/>
          <w:sz w:val="32"/>
          <w:szCs w:val="32"/>
        </w:rPr>
        <w:t>建设</w:t>
      </w:r>
      <w:r>
        <w:rPr>
          <w:rFonts w:hint="eastAsia" w:ascii="仿宋" w:hAnsi="仿宋" w:eastAsia="仿宋_GB2312" w:cs="仿宋"/>
          <w:bCs/>
          <w:sz w:val="32"/>
          <w:szCs w:val="32"/>
          <w:lang w:val="en-US" w:eastAsia="zh-CN"/>
        </w:rPr>
        <w:t>工程</w:t>
      </w:r>
      <w:r>
        <w:rPr>
          <w:rFonts w:hint="eastAsia" w:ascii="仿宋" w:hAnsi="仿宋" w:eastAsia="仿宋_GB2312" w:cs="仿宋"/>
          <w:bCs/>
          <w:sz w:val="32"/>
          <w:szCs w:val="32"/>
        </w:rPr>
        <w:t>项目</w:t>
      </w:r>
      <w:r>
        <w:rPr>
          <w:rFonts w:hint="eastAsia" w:ascii="仿宋" w:hAnsi="仿宋" w:eastAsia="仿宋_GB2312" w:cs="仿宋"/>
          <w:bCs/>
          <w:sz w:val="32"/>
          <w:szCs w:val="32"/>
          <w:lang w:val="en-US" w:eastAsia="zh-CN"/>
        </w:rPr>
        <w:t>带动地方经济发展效果是否</w:t>
      </w:r>
      <w:r>
        <w:rPr>
          <w:rFonts w:ascii="仿宋" w:hAnsi="仿宋" w:eastAsia="仿宋_GB2312" w:cs="仿宋"/>
          <w:bCs/>
          <w:sz w:val="32"/>
          <w:szCs w:val="32"/>
        </w:rPr>
        <w:t>满意？</w:t>
      </w:r>
    </w:p>
    <w:p>
      <w:pPr>
        <w:tabs>
          <w:tab w:val="left" w:pos="1250"/>
        </w:tabs>
        <w:rPr>
          <w:rFonts w:ascii="仿宋" w:hAnsi="仿宋" w:eastAsia="仿宋_GB2312" w:cs="仿宋"/>
          <w:bCs/>
          <w:sz w:val="32"/>
          <w:szCs w:val="32"/>
        </w:rPr>
      </w:pPr>
      <w:r>
        <w:rPr>
          <w:rFonts w:ascii="仿宋" w:hAnsi="仿宋" w:eastAsia="仿宋_GB2312" w:cs="仿宋"/>
          <w:bCs/>
          <w:sz w:val="32"/>
          <w:szCs w:val="32"/>
        </w:rPr>
        <w:t>□非常满意  □满意  □一般  □不满意 □很不满意</w:t>
      </w:r>
    </w:p>
    <w:p>
      <w:pPr>
        <w:tabs>
          <w:tab w:val="left" w:pos="1250"/>
        </w:tabs>
        <w:rPr>
          <w:rFonts w:ascii="仿宋" w:hAnsi="仿宋" w:eastAsia="仿宋_GB2312" w:cs="仿宋"/>
          <w:bCs/>
          <w:sz w:val="32"/>
          <w:szCs w:val="32"/>
        </w:rPr>
      </w:pPr>
      <w:r>
        <w:rPr>
          <w:rFonts w:hint="eastAsia" w:ascii="仿宋" w:hAnsi="仿宋" w:eastAsia="仿宋_GB2312" w:cs="仿宋"/>
          <w:bCs/>
          <w:sz w:val="32"/>
          <w:szCs w:val="32"/>
        </w:rPr>
        <w:t>5.您对</w:t>
      </w:r>
      <w:r>
        <w:rPr>
          <w:rFonts w:hint="eastAsia" w:ascii="仿宋" w:hAnsi="仿宋" w:eastAsia="仿宋_GB2312" w:cs="仿宋"/>
          <w:bCs/>
          <w:sz w:val="32"/>
          <w:szCs w:val="32"/>
          <w:lang w:val="en-US" w:eastAsia="zh-CN"/>
        </w:rPr>
        <w:t>圣人涧镇营村村一组至二组道路</w:t>
      </w:r>
      <w:r>
        <w:rPr>
          <w:rFonts w:hint="eastAsia" w:ascii="仿宋" w:hAnsi="仿宋" w:eastAsia="仿宋_GB2312" w:cs="仿宋"/>
          <w:bCs/>
          <w:sz w:val="32"/>
          <w:szCs w:val="32"/>
        </w:rPr>
        <w:t>建设</w:t>
      </w:r>
      <w:r>
        <w:rPr>
          <w:rFonts w:hint="eastAsia" w:ascii="仿宋" w:hAnsi="仿宋" w:eastAsia="仿宋_GB2312" w:cs="仿宋"/>
          <w:bCs/>
          <w:sz w:val="32"/>
          <w:szCs w:val="32"/>
          <w:lang w:val="en-US" w:eastAsia="zh-CN"/>
        </w:rPr>
        <w:t>工程</w:t>
      </w:r>
      <w:r>
        <w:rPr>
          <w:rFonts w:hint="eastAsia" w:ascii="仿宋" w:hAnsi="仿宋" w:eastAsia="仿宋_GB2312" w:cs="仿宋"/>
          <w:bCs/>
          <w:sz w:val="32"/>
          <w:szCs w:val="32"/>
        </w:rPr>
        <w:t>项目</w:t>
      </w:r>
      <w:r>
        <w:rPr>
          <w:rFonts w:hint="eastAsia" w:ascii="仿宋" w:hAnsi="仿宋" w:eastAsia="仿宋_GB2312" w:cs="仿宋"/>
          <w:bCs/>
          <w:sz w:val="32"/>
          <w:szCs w:val="32"/>
          <w:lang w:val="en-US" w:eastAsia="zh-CN"/>
        </w:rPr>
        <w:t>可持续发展地推动农副产品的销售问题</w:t>
      </w:r>
      <w:r>
        <w:rPr>
          <w:rFonts w:hint="eastAsia" w:ascii="仿宋" w:hAnsi="仿宋" w:eastAsia="仿宋_GB2312" w:cs="仿宋"/>
          <w:bCs/>
          <w:sz w:val="32"/>
          <w:szCs w:val="32"/>
        </w:rPr>
        <w:t>是否满意？</w:t>
      </w:r>
    </w:p>
    <w:p>
      <w:pPr>
        <w:tabs>
          <w:tab w:val="left" w:pos="1250"/>
        </w:tabs>
        <w:rPr>
          <w:rFonts w:ascii="仿宋" w:hAnsi="仿宋" w:eastAsia="仿宋_GB2312" w:cs="仿宋"/>
          <w:bCs/>
          <w:sz w:val="32"/>
          <w:szCs w:val="32"/>
        </w:rPr>
      </w:pPr>
      <w:r>
        <w:rPr>
          <w:rFonts w:ascii="仿宋" w:hAnsi="仿宋" w:eastAsia="仿宋_GB2312" w:cs="仿宋"/>
          <w:bCs/>
          <w:sz w:val="32"/>
          <w:szCs w:val="32"/>
        </w:rPr>
        <w:t>□非常满意  □满意  □一般  □不满意 □很不满意</w:t>
      </w:r>
    </w:p>
    <w:p>
      <w:pPr>
        <w:tabs>
          <w:tab w:val="left" w:pos="1250"/>
        </w:tabs>
        <w:rPr>
          <w:rFonts w:ascii="仿宋" w:hAnsi="仿宋" w:eastAsia="仿宋_GB2312" w:cs="仿宋"/>
          <w:bCs/>
          <w:sz w:val="32"/>
          <w:szCs w:val="32"/>
        </w:rPr>
      </w:pPr>
      <w:r>
        <w:rPr>
          <w:rFonts w:hint="eastAsia" w:ascii="楷体" w:hAnsi="楷体" w:eastAsia="楷体" w:cs="仿宋"/>
          <w:bCs/>
          <w:sz w:val="32"/>
          <w:szCs w:val="32"/>
        </w:rPr>
        <w:t>三</w:t>
      </w:r>
      <w:r>
        <w:rPr>
          <w:rFonts w:ascii="楷体" w:hAnsi="楷体" w:eastAsia="楷体" w:cs="仿宋"/>
          <w:bCs/>
          <w:sz w:val="32"/>
          <w:szCs w:val="32"/>
        </w:rPr>
        <w:t>、主观问题</w:t>
      </w:r>
    </w:p>
    <w:p>
      <w:pPr>
        <w:tabs>
          <w:tab w:val="left" w:pos="1250"/>
        </w:tabs>
        <w:rPr>
          <w:rFonts w:ascii="仿宋" w:hAnsi="仿宋" w:eastAsia="仿宋_GB2312" w:cs="仿宋"/>
          <w:bCs/>
          <w:sz w:val="32"/>
          <w:szCs w:val="32"/>
        </w:rPr>
      </w:pPr>
      <w:r>
        <w:rPr>
          <w:rFonts w:ascii="仿宋" w:hAnsi="仿宋" w:eastAsia="仿宋_GB2312" w:cs="仿宋"/>
          <w:bCs/>
          <w:sz w:val="32"/>
          <w:szCs w:val="32"/>
        </w:rPr>
        <w:t>1.您认为项目实施还带来了哪些社会经济效益？</w:t>
      </w:r>
    </w:p>
    <w:p>
      <w:pPr>
        <w:tabs>
          <w:tab w:val="left" w:pos="1250"/>
        </w:tabs>
        <w:rPr>
          <w:rFonts w:ascii="仿宋" w:hAnsi="仿宋" w:eastAsia="仿宋_GB2312" w:cs="仿宋"/>
          <w:bCs/>
          <w:sz w:val="32"/>
          <w:szCs w:val="32"/>
        </w:rPr>
        <w:sectPr>
          <w:headerReference r:id="rId11" w:type="even"/>
          <w:pgSz w:w="11906" w:h="16838"/>
          <w:pgMar w:top="2098" w:right="1531" w:bottom="1985" w:left="1531" w:header="851" w:footer="992" w:gutter="0"/>
          <w:pgNumType w:fmt="numberInDash"/>
          <w:cols w:space="720" w:num="1"/>
          <w:docGrid w:linePitch="312" w:charSpace="0"/>
        </w:sectPr>
      </w:pPr>
      <w:r>
        <w:rPr>
          <w:rFonts w:ascii="仿宋" w:hAnsi="仿宋" w:eastAsia="仿宋_GB2312" w:cs="仿宋"/>
          <w:bCs/>
          <w:sz w:val="32"/>
          <w:szCs w:val="32"/>
        </w:rPr>
        <w:t>2.您对项目建设的意见和建议</w:t>
      </w:r>
      <w:r>
        <w:rPr>
          <w:rFonts w:hint="eastAsia" w:ascii="仿宋" w:hAnsi="仿宋" w:eastAsia="仿宋_GB2312" w:cs="仿宋"/>
          <w:bCs/>
          <w:sz w:val="32"/>
          <w:szCs w:val="32"/>
        </w:rPr>
        <w:t>？</w:t>
      </w:r>
    </w:p>
    <w:p>
      <w:pPr>
        <w:tabs>
          <w:tab w:val="left" w:pos="1250"/>
        </w:tabs>
        <w:spacing w:after="240" w:afterLines="100" w:line="400" w:lineRule="exact"/>
        <w:outlineLvl w:val="0"/>
        <w:rPr>
          <w:rFonts w:ascii="黑体" w:hAnsi="黑体" w:eastAsia="黑体" w:cs="Times New Roman"/>
          <w:sz w:val="30"/>
          <w:szCs w:val="30"/>
        </w:rPr>
      </w:pPr>
      <w:bookmarkStart w:id="97" w:name="_Toc6206"/>
      <w:r>
        <w:rPr>
          <w:rFonts w:hint="eastAsia" w:ascii="黑体" w:hAnsi="黑体" w:eastAsia="黑体" w:cs="Times New Roman"/>
          <w:sz w:val="30"/>
          <w:szCs w:val="30"/>
        </w:rPr>
        <w:t>附件</w:t>
      </w:r>
      <w:r>
        <w:rPr>
          <w:rFonts w:hint="eastAsia" w:ascii="Times New Roman" w:hAnsi="Times New Roman" w:eastAsia="黑体" w:cs="Times New Roman"/>
          <w:sz w:val="30"/>
          <w:szCs w:val="30"/>
        </w:rPr>
        <w:t>4</w:t>
      </w:r>
      <w:r>
        <w:rPr>
          <w:rFonts w:hint="eastAsia" w:ascii="黑体" w:hAnsi="黑体" w:eastAsia="黑体" w:cs="Times New Roman"/>
          <w:sz w:val="30"/>
          <w:szCs w:val="30"/>
        </w:rPr>
        <w:t>：</w:t>
      </w:r>
      <w:bookmarkEnd w:id="96"/>
      <w:bookmarkEnd w:id="97"/>
    </w:p>
    <w:p>
      <w:pPr>
        <w:widowControl w:val="0"/>
        <w:jc w:val="center"/>
        <w:rPr>
          <w:rFonts w:ascii="方正小标宋简体" w:hAnsi="黑体" w:eastAsia="方正小标宋简体" w:cs="黑体"/>
          <w:spacing w:val="-10"/>
          <w:sz w:val="44"/>
          <w:szCs w:val="44"/>
        </w:rPr>
      </w:pPr>
      <w:r>
        <w:rPr>
          <w:rFonts w:hint="eastAsia" w:ascii="方正小标宋简体" w:hAnsi="黑体" w:eastAsia="方正小标宋简体" w:cs="黑体"/>
          <w:spacing w:val="-10"/>
          <w:sz w:val="44"/>
          <w:szCs w:val="44"/>
        </w:rPr>
        <w:t>满意度调查问卷分析报告</w:t>
      </w:r>
    </w:p>
    <w:p>
      <w:pPr>
        <w:widowControl w:val="0"/>
        <w:ind w:firstLine="640" w:firstLineChars="200"/>
        <w:rPr>
          <w:rFonts w:ascii="黑体" w:hAnsi="黑体" w:eastAsia="黑体"/>
          <w:bCs/>
          <w:sz w:val="32"/>
          <w:szCs w:val="32"/>
        </w:rPr>
      </w:pPr>
      <w:r>
        <w:rPr>
          <w:rFonts w:hint="eastAsia" w:ascii="黑体" w:hAnsi="黑体" w:eastAsia="黑体"/>
          <w:bCs/>
          <w:sz w:val="32"/>
          <w:szCs w:val="32"/>
        </w:rPr>
        <w:t>一、调查对象与调查内容</w:t>
      </w:r>
    </w:p>
    <w:p>
      <w:pPr>
        <w:widowControl w:val="0"/>
        <w:ind w:firstLine="640" w:firstLineChars="200"/>
        <w:rPr>
          <w:rFonts w:ascii="楷体" w:hAnsi="楷体" w:eastAsia="楷体"/>
          <w:bCs/>
          <w:sz w:val="32"/>
          <w:szCs w:val="32"/>
        </w:rPr>
      </w:pPr>
      <w:r>
        <w:rPr>
          <w:rFonts w:hint="eastAsia" w:ascii="楷体" w:hAnsi="楷体" w:eastAsia="楷体"/>
          <w:bCs/>
          <w:sz w:val="32"/>
          <w:szCs w:val="32"/>
        </w:rPr>
        <w:t>（一）调查对象</w:t>
      </w:r>
    </w:p>
    <w:p>
      <w:pPr>
        <w:ind w:firstLine="640" w:firstLineChars="200"/>
        <w:rPr>
          <w:rFonts w:ascii="仿宋" w:hAnsi="仿宋" w:eastAsia="仿宋_GB2312" w:cs="仿宋"/>
          <w:sz w:val="32"/>
          <w:szCs w:val="32"/>
        </w:rPr>
      </w:pPr>
      <w:r>
        <w:rPr>
          <w:rFonts w:hint="eastAsia" w:ascii="Times New Roman" w:hAnsi="Times New Roman" w:eastAsia="仿宋_GB2312" w:cs="仿宋"/>
          <w:sz w:val="32"/>
          <w:szCs w:val="32"/>
          <w:lang w:val="en-US" w:eastAsia="zh-CN"/>
        </w:rPr>
        <w:t>平陆县圣人涧镇营村村一组至二组道路建设工程项目</w:t>
      </w:r>
      <w:r>
        <w:rPr>
          <w:rFonts w:hint="eastAsia" w:ascii="仿宋_GB2312" w:hAnsi="仿宋" w:eastAsia="仿宋_GB2312" w:cs="仿宋"/>
          <w:sz w:val="32"/>
          <w:szCs w:val="32"/>
          <w:lang w:val="en-US" w:eastAsia="zh-CN"/>
        </w:rPr>
        <w:t>地贫困人口</w:t>
      </w:r>
      <w:r>
        <w:rPr>
          <w:rFonts w:hint="eastAsia" w:ascii="仿宋" w:hAnsi="仿宋" w:eastAsia="仿宋_GB2312" w:cs="仿宋"/>
          <w:sz w:val="32"/>
          <w:szCs w:val="32"/>
        </w:rPr>
        <w:t>。</w:t>
      </w:r>
    </w:p>
    <w:p>
      <w:pPr>
        <w:widowControl w:val="0"/>
        <w:ind w:firstLine="640" w:firstLineChars="200"/>
        <w:rPr>
          <w:rFonts w:ascii="楷体" w:hAnsi="楷体" w:eastAsia="楷体"/>
          <w:bCs/>
          <w:sz w:val="32"/>
          <w:szCs w:val="32"/>
        </w:rPr>
      </w:pPr>
      <w:r>
        <w:rPr>
          <w:rFonts w:hint="eastAsia" w:ascii="楷体" w:hAnsi="楷体" w:eastAsia="楷体"/>
          <w:bCs/>
          <w:sz w:val="32"/>
          <w:szCs w:val="32"/>
        </w:rPr>
        <w:t>（二）调查内容</w:t>
      </w:r>
    </w:p>
    <w:p>
      <w:pPr>
        <w:ind w:firstLine="640" w:firstLineChars="200"/>
        <w:rPr>
          <w:rFonts w:ascii="仿宋" w:hAnsi="仿宋" w:eastAsia="仿宋_GB2312" w:cs="仿宋"/>
          <w:sz w:val="32"/>
          <w:szCs w:val="32"/>
        </w:rPr>
      </w:pPr>
      <w:r>
        <w:rPr>
          <w:rFonts w:hint="eastAsia" w:ascii="仿宋_GB2312" w:hAnsi="仿宋_GB2312" w:eastAsia="仿宋_GB2312" w:cs="仿宋_GB2312"/>
          <w:sz w:val="32"/>
          <w:szCs w:val="32"/>
        </w:rPr>
        <w:t>重点围绕受益村民对项目实施产生的</w:t>
      </w:r>
      <w:r>
        <w:rPr>
          <w:rFonts w:hint="eastAsia" w:ascii="仿宋_GB2312" w:hAnsi="仿宋_GB2312" w:eastAsia="仿宋_GB2312" w:cs="仿宋_GB2312"/>
          <w:sz w:val="32"/>
          <w:szCs w:val="32"/>
          <w:lang w:val="en-US" w:eastAsia="zh-CN"/>
        </w:rPr>
        <w:t>经济效益、</w:t>
      </w:r>
      <w:r>
        <w:rPr>
          <w:rFonts w:hint="eastAsia" w:ascii="仿宋_GB2312" w:hAnsi="仿宋_GB2312" w:eastAsia="仿宋_GB2312" w:cs="仿宋_GB2312"/>
          <w:sz w:val="32"/>
          <w:szCs w:val="32"/>
        </w:rPr>
        <w:t>社会效益、及项目的可持续影响等设计调查问卷。设置基本问题、满意度问题、主观问题三类问题，具体内容见满意度调查问卷样卷。</w:t>
      </w:r>
    </w:p>
    <w:p>
      <w:pPr>
        <w:widowControl w:val="0"/>
        <w:ind w:firstLine="640" w:firstLineChars="200"/>
        <w:rPr>
          <w:rFonts w:ascii="黑体" w:hAnsi="黑体" w:eastAsia="黑体"/>
          <w:bCs/>
          <w:sz w:val="32"/>
          <w:szCs w:val="32"/>
        </w:rPr>
      </w:pPr>
      <w:r>
        <w:rPr>
          <w:rFonts w:hint="eastAsia" w:ascii="黑体" w:hAnsi="黑体" w:eastAsia="黑体"/>
          <w:bCs/>
          <w:sz w:val="32"/>
          <w:szCs w:val="32"/>
        </w:rPr>
        <w:t>二、调查方法与调查方式</w:t>
      </w:r>
    </w:p>
    <w:p>
      <w:pPr>
        <w:widowControl w:val="0"/>
        <w:ind w:firstLine="640" w:firstLineChars="200"/>
        <w:rPr>
          <w:rFonts w:ascii="楷体" w:hAnsi="楷体" w:eastAsia="楷体"/>
          <w:bCs/>
          <w:sz w:val="32"/>
          <w:szCs w:val="32"/>
        </w:rPr>
      </w:pPr>
      <w:r>
        <w:rPr>
          <w:rFonts w:hint="eastAsia" w:ascii="楷体" w:hAnsi="楷体" w:eastAsia="楷体"/>
          <w:bCs/>
          <w:sz w:val="32"/>
          <w:szCs w:val="32"/>
        </w:rPr>
        <w:t>（一）调查方法</w:t>
      </w:r>
    </w:p>
    <w:p>
      <w:pPr>
        <w:ind w:firstLine="640" w:firstLineChars="200"/>
        <w:rPr>
          <w:rFonts w:ascii="仿宋" w:hAnsi="仿宋" w:eastAsia="仿宋_GB2312" w:cs="仿宋"/>
          <w:sz w:val="32"/>
          <w:szCs w:val="32"/>
        </w:rPr>
      </w:pPr>
      <w:r>
        <w:rPr>
          <w:rFonts w:hint="eastAsia" w:ascii="仿宋" w:hAnsi="仿宋" w:eastAsia="仿宋_GB2312" w:cs="仿宋"/>
          <w:sz w:val="32"/>
          <w:szCs w:val="32"/>
        </w:rPr>
        <w:t>本次问卷调查</w:t>
      </w:r>
      <w:r>
        <w:rPr>
          <w:rFonts w:hint="eastAsia" w:ascii="仿宋" w:hAnsi="仿宋" w:eastAsia="仿宋_GB2312" w:cs="仿宋"/>
          <w:sz w:val="32"/>
          <w:szCs w:val="32"/>
          <w:lang w:val="en-US" w:eastAsia="zh-CN"/>
        </w:rPr>
        <w:t>对</w:t>
      </w:r>
      <w:r>
        <w:rPr>
          <w:rFonts w:hint="eastAsia" w:ascii="Times New Roman" w:hAnsi="Times New Roman" w:eastAsia="仿宋_GB2312" w:cs="仿宋"/>
          <w:sz w:val="32"/>
          <w:szCs w:val="32"/>
        </w:rPr>
        <w:t>5</w:t>
      </w:r>
      <w:r>
        <w:rPr>
          <w:rFonts w:hint="eastAsia" w:ascii="Times New Roman" w:hAnsi="Times New Roman" w:eastAsia="仿宋_GB2312" w:cs="仿宋"/>
          <w:sz w:val="32"/>
          <w:szCs w:val="32"/>
          <w:lang w:val="en-US" w:eastAsia="zh-CN"/>
        </w:rPr>
        <w:t>7名受益建档立卡贫困人口进行问卷调查</w:t>
      </w:r>
      <w:r>
        <w:rPr>
          <w:rFonts w:hint="eastAsia" w:ascii="仿宋" w:hAnsi="仿宋" w:eastAsia="仿宋_GB2312" w:cs="仿宋"/>
          <w:sz w:val="32"/>
          <w:szCs w:val="32"/>
        </w:rPr>
        <w:t>。</w:t>
      </w:r>
    </w:p>
    <w:p>
      <w:pPr>
        <w:widowControl w:val="0"/>
        <w:overflowPunct w:val="0"/>
        <w:ind w:firstLine="640" w:firstLineChars="200"/>
        <w:rPr>
          <w:rFonts w:ascii="楷体" w:hAnsi="楷体" w:eastAsia="楷体"/>
          <w:bCs/>
          <w:sz w:val="32"/>
          <w:szCs w:val="32"/>
        </w:rPr>
      </w:pPr>
      <w:r>
        <w:rPr>
          <w:rFonts w:hint="eastAsia" w:ascii="楷体" w:hAnsi="楷体" w:eastAsia="楷体"/>
          <w:bCs/>
          <w:sz w:val="32"/>
          <w:szCs w:val="32"/>
        </w:rPr>
        <w:t>（二）调查方式</w:t>
      </w:r>
    </w:p>
    <w:p>
      <w:pPr>
        <w:widowControl w:val="0"/>
        <w:overflowPunct w:val="0"/>
        <w:ind w:firstLine="640" w:firstLineChars="200"/>
        <w:rPr>
          <w:rFonts w:ascii="仿宋_GB2312" w:hAnsi="仿宋_GB2312" w:eastAsia="仿宋_GB2312" w:cs="仿宋_GB2312"/>
          <w:sz w:val="32"/>
          <w:szCs w:val="32"/>
        </w:rPr>
      </w:pPr>
      <w:r>
        <w:rPr>
          <w:rFonts w:ascii="仿宋" w:hAnsi="仿宋" w:eastAsia="仿宋" w:cs="仿宋"/>
          <w:sz w:val="32"/>
          <w:szCs w:val="32"/>
        </w:rPr>
        <w:t>本次调查问卷采用现场发放的方式，共发放</w:t>
      </w:r>
      <w:r>
        <w:rPr>
          <w:rFonts w:hint="eastAsia" w:ascii="Times New Roman" w:hAnsi="Times New Roman" w:eastAsia="仿宋" w:cs="仿宋"/>
          <w:sz w:val="32"/>
          <w:szCs w:val="32"/>
        </w:rPr>
        <w:t>5</w:t>
      </w:r>
      <w:r>
        <w:rPr>
          <w:rFonts w:hint="eastAsia" w:ascii="Times New Roman" w:hAnsi="Times New Roman" w:eastAsia="仿宋" w:cs="仿宋"/>
          <w:sz w:val="32"/>
          <w:szCs w:val="32"/>
          <w:lang w:val="en-US" w:eastAsia="zh-CN"/>
        </w:rPr>
        <w:t>7</w:t>
      </w:r>
      <w:r>
        <w:rPr>
          <w:rFonts w:ascii="仿宋" w:hAnsi="仿宋" w:eastAsia="仿宋" w:cs="仿宋"/>
          <w:sz w:val="32"/>
          <w:szCs w:val="32"/>
        </w:rPr>
        <w:t>份问卷，收回有效问卷</w:t>
      </w:r>
      <w:r>
        <w:rPr>
          <w:rFonts w:hint="eastAsia" w:ascii="Times New Roman" w:hAnsi="Times New Roman" w:eastAsia="仿宋" w:cs="仿宋"/>
          <w:sz w:val="32"/>
          <w:szCs w:val="32"/>
          <w:lang w:val="en-US" w:eastAsia="zh-CN"/>
        </w:rPr>
        <w:t>55</w:t>
      </w:r>
      <w:r>
        <w:rPr>
          <w:rFonts w:ascii="仿宋" w:hAnsi="仿宋" w:eastAsia="仿宋" w:cs="仿宋"/>
          <w:sz w:val="32"/>
          <w:szCs w:val="32"/>
        </w:rPr>
        <w:t>份，问卷回收有效率为</w:t>
      </w:r>
      <w:r>
        <w:rPr>
          <w:rFonts w:hint="eastAsia" w:ascii="Times New Roman" w:hAnsi="Times New Roman" w:eastAsia="仿宋" w:cs="仿宋"/>
          <w:sz w:val="32"/>
          <w:szCs w:val="32"/>
        </w:rPr>
        <w:t>9</w:t>
      </w:r>
      <w:r>
        <w:rPr>
          <w:rFonts w:hint="eastAsia" w:ascii="Times New Roman" w:hAnsi="Times New Roman" w:eastAsia="仿宋" w:cs="仿宋"/>
          <w:sz w:val="32"/>
          <w:szCs w:val="32"/>
          <w:lang w:val="en-US" w:eastAsia="zh-CN"/>
        </w:rPr>
        <w:t>6.49</w:t>
      </w:r>
      <w:r>
        <w:rPr>
          <w:rFonts w:ascii="仿宋" w:hAnsi="仿宋" w:eastAsia="仿宋" w:cs="仿宋"/>
          <w:sz w:val="32"/>
          <w:szCs w:val="32"/>
        </w:rPr>
        <w:t>%。</w:t>
      </w:r>
    </w:p>
    <w:p>
      <w:pPr>
        <w:widowControl w:val="0"/>
        <w:ind w:firstLine="643" w:firstLineChars="200"/>
        <w:rPr>
          <w:rFonts w:ascii="黑体" w:hAnsi="黑体" w:eastAsia="黑体"/>
          <w:b/>
          <w:bCs/>
          <w:sz w:val="32"/>
          <w:szCs w:val="32"/>
        </w:rPr>
      </w:pPr>
      <w:r>
        <w:rPr>
          <w:rFonts w:hint="eastAsia" w:ascii="黑体" w:hAnsi="黑体" w:eastAsia="黑体"/>
          <w:b/>
          <w:bCs/>
          <w:sz w:val="32"/>
          <w:szCs w:val="32"/>
        </w:rPr>
        <w:t>三、满意度计算方法</w:t>
      </w:r>
    </w:p>
    <w:p>
      <w:pPr>
        <w:widowControl w:val="0"/>
        <w:overflowPunct w:val="0"/>
        <w:ind w:firstLine="640" w:firstLineChars="200"/>
        <w:rPr>
          <w:rFonts w:ascii="仿宋_GB2312" w:hAnsi="仿宋_GB2312" w:eastAsia="仿宋_GB2312" w:cs="仿宋_GB2312"/>
          <w:sz w:val="32"/>
          <w:szCs w:val="32"/>
        </w:rPr>
      </w:pPr>
      <w:r>
        <w:rPr>
          <w:rFonts w:hint="eastAsia" w:ascii="楷体_GB2312" w:hAnsi="Cambria" w:eastAsia="楷体_GB2312" w:cs="Times New Roman"/>
          <w:sz w:val="32"/>
          <w:szCs w:val="32"/>
        </w:rPr>
        <w:t>（一）单一问题的满意度。</w:t>
      </w:r>
      <w:r>
        <w:rPr>
          <w:rFonts w:hint="eastAsia" w:ascii="仿宋_GB2312" w:hAnsi="仿宋_GB2312" w:eastAsia="仿宋_GB2312" w:cs="仿宋_GB2312"/>
          <w:sz w:val="32"/>
          <w:szCs w:val="32"/>
        </w:rPr>
        <w:t>以持非常满意和满意态度的调查对象占所有调查对象的比率为单一问题满意度。</w:t>
      </w:r>
    </w:p>
    <w:p>
      <w:pPr>
        <w:widowControl w:val="0"/>
        <w:overflowPunct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单一问题满意度=（持非常满意和满意态度的调查对象/所有调查对象）×</w:t>
      </w:r>
      <w:r>
        <w:rPr>
          <w:rFonts w:hint="eastAsia" w:ascii="Times New Roman" w:hAnsi="Times New Roman" w:eastAsia="仿宋_GB2312" w:cs="仿宋_GB2312"/>
          <w:sz w:val="32"/>
          <w:szCs w:val="32"/>
        </w:rPr>
        <w:t>100</w:t>
      </w:r>
      <w:r>
        <w:rPr>
          <w:rFonts w:hint="eastAsia" w:ascii="仿宋_GB2312" w:hAnsi="仿宋_GB2312" w:eastAsia="仿宋_GB2312" w:cs="仿宋_GB2312"/>
          <w:sz w:val="32"/>
          <w:szCs w:val="32"/>
        </w:rPr>
        <w:t>%。</w:t>
      </w:r>
    </w:p>
    <w:p>
      <w:pPr>
        <w:widowControl w:val="0"/>
        <w:overflowPunct w:val="0"/>
        <w:ind w:firstLine="640" w:firstLineChars="200"/>
        <w:rPr>
          <w:rFonts w:ascii="仿宋_GB2312" w:hAnsi="仿宋_GB2312" w:eastAsia="仿宋_GB2312" w:cs="仿宋_GB2312"/>
          <w:sz w:val="32"/>
          <w:szCs w:val="32"/>
        </w:rPr>
      </w:pPr>
      <w:r>
        <w:rPr>
          <w:rFonts w:hint="eastAsia" w:ascii="楷体_GB2312" w:hAnsi="Cambria" w:eastAsia="楷体_GB2312" w:cs="Times New Roman"/>
          <w:sz w:val="32"/>
          <w:szCs w:val="32"/>
        </w:rPr>
        <w:t>（二）受益村民满意度。</w:t>
      </w:r>
      <w:r>
        <w:rPr>
          <w:rFonts w:hint="eastAsia" w:ascii="仿宋_GB2312" w:hAnsi="仿宋_GB2312" w:eastAsia="仿宋_GB2312" w:cs="仿宋_GB2312"/>
          <w:sz w:val="32"/>
          <w:szCs w:val="32"/>
        </w:rPr>
        <w:t>以单一问题满意度的平均数为受益村民对项目实施的满意度。</w:t>
      </w:r>
    </w:p>
    <w:p>
      <w:pPr>
        <w:widowControl w:val="0"/>
        <w:ind w:firstLine="640" w:firstLineChars="200"/>
        <w:rPr>
          <w:rFonts w:ascii="黑体" w:hAnsi="黑体" w:eastAsia="黑体"/>
          <w:bCs/>
          <w:sz w:val="32"/>
          <w:szCs w:val="32"/>
        </w:rPr>
      </w:pPr>
      <w:r>
        <w:rPr>
          <w:rFonts w:hint="eastAsia" w:ascii="黑体" w:hAnsi="黑体" w:eastAsia="黑体"/>
          <w:bCs/>
          <w:sz w:val="32"/>
          <w:szCs w:val="32"/>
        </w:rPr>
        <w:t>四、调查问卷的信度与效度分析</w:t>
      </w:r>
    </w:p>
    <w:p>
      <w:pPr>
        <w:widowControl w:val="0"/>
        <w:ind w:firstLine="640" w:firstLineChars="200"/>
        <w:rPr>
          <w:rFonts w:ascii="楷体" w:hAnsi="楷体" w:eastAsia="楷体"/>
          <w:bCs/>
          <w:sz w:val="32"/>
          <w:szCs w:val="32"/>
        </w:rPr>
      </w:pPr>
      <w:r>
        <w:rPr>
          <w:rFonts w:hint="eastAsia" w:ascii="楷体" w:hAnsi="楷体" w:eastAsia="楷体"/>
          <w:bCs/>
          <w:sz w:val="32"/>
          <w:szCs w:val="32"/>
        </w:rPr>
        <w:t>（一）信度分析</w:t>
      </w:r>
    </w:p>
    <w:p>
      <w:pPr>
        <w:ind w:firstLine="640" w:firstLineChars="200"/>
        <w:rPr>
          <w:rFonts w:ascii="仿宋" w:hAnsi="仿宋" w:eastAsia="仿宋" w:cs="仿宋"/>
          <w:sz w:val="32"/>
          <w:szCs w:val="32"/>
        </w:rPr>
      </w:pPr>
      <w:r>
        <w:rPr>
          <w:rFonts w:hint="eastAsia" w:ascii="仿宋" w:hAnsi="仿宋" w:eastAsia="仿宋" w:cs="仿宋"/>
          <w:sz w:val="32"/>
          <w:szCs w:val="32"/>
        </w:rPr>
        <w:t>信度（</w:t>
      </w:r>
      <w:r>
        <w:rPr>
          <w:rFonts w:hint="eastAsia" w:ascii="Times New Roman" w:hAnsi="Times New Roman" w:eastAsia="仿宋" w:cs="仿宋"/>
          <w:sz w:val="32"/>
          <w:szCs w:val="32"/>
        </w:rPr>
        <w:t>Reliability</w:t>
      </w:r>
      <w:r>
        <w:rPr>
          <w:rFonts w:hint="eastAsia" w:ascii="仿宋" w:hAnsi="仿宋" w:eastAsia="仿宋" w:cs="仿宋"/>
          <w:sz w:val="32"/>
          <w:szCs w:val="32"/>
        </w:rPr>
        <w:t>）是指测量结果的一致性、稳定性及可靠性。其目的是控制和减少随机误差。本次问卷调查运用克朗巴哈信度系数法（</w:t>
      </w:r>
      <w:r>
        <w:rPr>
          <w:rFonts w:hint="eastAsia" w:ascii="Times New Roman" w:hAnsi="Times New Roman" w:eastAsia="仿宋" w:cs="仿宋"/>
          <w:sz w:val="32"/>
          <w:szCs w:val="32"/>
        </w:rPr>
        <w:t>Cronbachα</w:t>
      </w:r>
      <w:r>
        <w:rPr>
          <w:rFonts w:hint="eastAsia" w:ascii="仿宋" w:hAnsi="仿宋" w:eastAsia="仿宋" w:cs="仿宋"/>
          <w:sz w:val="32"/>
          <w:szCs w:val="32"/>
        </w:rPr>
        <w:t xml:space="preserve">）对满意度问题的信度进行测量，其计算公式为： </w:t>
      </w:r>
      <m:oMath>
        <m:r>
          <m:rPr>
            <m:sty m:val="p"/>
          </m:rPr>
          <w:rPr>
            <w:rFonts w:hint="eastAsia" w:ascii="Cambria Math" w:hAnsi="Cambria Math" w:eastAsia="仿宋" w:cs="仿宋"/>
            <w:sz w:val="32"/>
            <w:szCs w:val="32"/>
          </w:rPr>
          <m:t>α=</m:t>
        </m:r>
        <m:f>
          <m:fPr>
            <m:ctrlPr>
              <w:rPr>
                <w:rFonts w:hint="eastAsia" w:ascii="Cambria Math" w:hAnsi="Cambria Math" w:eastAsia="仿宋" w:cs="仿宋"/>
                <w:sz w:val="32"/>
                <w:szCs w:val="32"/>
              </w:rPr>
            </m:ctrlPr>
          </m:fPr>
          <m:num>
            <m:r>
              <m:rPr>
                <m:sty m:val="p"/>
              </m:rPr>
              <w:rPr>
                <w:rFonts w:hint="eastAsia" w:ascii="Cambria Math" w:hAnsi="Cambria Math" w:eastAsia="仿宋" w:cs="仿宋"/>
                <w:sz w:val="32"/>
                <w:szCs w:val="32"/>
              </w:rPr>
              <m:t>K</m:t>
            </m:r>
            <m:ctrlPr>
              <w:rPr>
                <w:rFonts w:hint="eastAsia" w:ascii="Cambria Math" w:hAnsi="Cambria Math" w:eastAsia="仿宋" w:cs="仿宋"/>
                <w:sz w:val="32"/>
                <w:szCs w:val="32"/>
              </w:rPr>
            </m:ctrlPr>
          </m:num>
          <m:den>
            <m:r>
              <m:rPr>
                <m:sty m:val="p"/>
              </m:rPr>
              <w:rPr>
                <w:rFonts w:hint="eastAsia" w:ascii="Cambria Math" w:hAnsi="Cambria Math" w:eastAsia="仿宋" w:cs="仿宋"/>
                <w:sz w:val="32"/>
                <w:szCs w:val="32"/>
              </w:rPr>
              <m:t>K-1</m:t>
            </m:r>
            <m:ctrlPr>
              <w:rPr>
                <w:rFonts w:hint="eastAsia" w:ascii="Cambria Math" w:hAnsi="Cambria Math" w:eastAsia="仿宋" w:cs="仿宋"/>
                <w:sz w:val="32"/>
                <w:szCs w:val="32"/>
              </w:rPr>
            </m:ctrlPr>
          </m:den>
        </m:f>
        <m:d>
          <m:dPr>
            <m:ctrlPr>
              <w:rPr>
                <w:rFonts w:hint="eastAsia" w:ascii="Cambria Math" w:hAnsi="Cambria Math" w:eastAsia="仿宋" w:cs="仿宋"/>
                <w:sz w:val="32"/>
                <w:szCs w:val="32"/>
              </w:rPr>
            </m:ctrlPr>
          </m:dPr>
          <m:e>
            <m:r>
              <m:rPr>
                <m:sty m:val="p"/>
              </m:rPr>
              <w:rPr>
                <w:rFonts w:hint="eastAsia" w:ascii="Cambria Math" w:hAnsi="Cambria Math" w:eastAsia="仿宋" w:cs="仿宋"/>
                <w:sz w:val="32"/>
                <w:szCs w:val="32"/>
              </w:rPr>
              <m:t>1-</m:t>
            </m:r>
            <m:f>
              <m:fPr>
                <m:ctrlPr>
                  <w:rPr>
                    <w:rFonts w:hint="eastAsia" w:ascii="Cambria Math" w:hAnsi="Cambria Math" w:eastAsia="仿宋" w:cs="仿宋"/>
                    <w:sz w:val="32"/>
                    <w:szCs w:val="32"/>
                  </w:rPr>
                </m:ctrlPr>
              </m:fPr>
              <m:num>
                <m:nary>
                  <m:naryPr>
                    <m:chr m:val="∑"/>
                    <m:limLoc m:val="undOvr"/>
                    <m:ctrlPr>
                      <w:rPr>
                        <w:rFonts w:hint="eastAsia" w:ascii="Cambria Math" w:hAnsi="Cambria Math" w:eastAsia="仿宋" w:cs="仿宋"/>
                        <w:sz w:val="32"/>
                        <w:szCs w:val="32"/>
                      </w:rPr>
                    </m:ctrlPr>
                  </m:naryPr>
                  <m:sub>
                    <m:r>
                      <m:rPr>
                        <m:sty m:val="p"/>
                      </m:rPr>
                      <w:rPr>
                        <w:rFonts w:hint="eastAsia" w:ascii="Cambria Math" w:hAnsi="Cambria Math" w:eastAsia="仿宋" w:cs="仿宋"/>
                        <w:sz w:val="32"/>
                        <w:szCs w:val="32"/>
                      </w:rPr>
                      <m:t>i=1</m:t>
                    </m:r>
                    <m:ctrlPr>
                      <w:rPr>
                        <w:rFonts w:hint="eastAsia" w:ascii="Cambria Math" w:hAnsi="Cambria Math" w:eastAsia="仿宋" w:cs="仿宋"/>
                        <w:sz w:val="32"/>
                        <w:szCs w:val="32"/>
                      </w:rPr>
                    </m:ctrlPr>
                  </m:sub>
                  <m:sup>
                    <m:r>
                      <m:rPr>
                        <m:sty m:val="p"/>
                      </m:rPr>
                      <w:rPr>
                        <w:rFonts w:hint="eastAsia" w:ascii="Cambria Math" w:hAnsi="Cambria Math" w:eastAsia="仿宋" w:cs="仿宋"/>
                        <w:sz w:val="32"/>
                        <w:szCs w:val="32"/>
                      </w:rPr>
                      <m:t>K</m:t>
                    </m:r>
                    <m:ctrlPr>
                      <w:rPr>
                        <w:rFonts w:hint="eastAsia" w:ascii="Cambria Math" w:hAnsi="Cambria Math" w:eastAsia="仿宋" w:cs="仿宋"/>
                        <w:sz w:val="32"/>
                        <w:szCs w:val="32"/>
                      </w:rPr>
                    </m:ctrlPr>
                  </m:sup>
                  <m:e>
                    <m:sSubSup>
                      <m:sSubSupPr>
                        <m:ctrlPr>
                          <w:rPr>
                            <w:rFonts w:hint="eastAsia" w:ascii="Cambria Math" w:hAnsi="Cambria Math" w:eastAsia="仿宋" w:cs="仿宋"/>
                            <w:sz w:val="32"/>
                            <w:szCs w:val="32"/>
                          </w:rPr>
                        </m:ctrlPr>
                      </m:sSubSupPr>
                      <m:e>
                        <m:r>
                          <m:rPr>
                            <m:sty m:val="p"/>
                          </m:rPr>
                          <w:rPr>
                            <w:rFonts w:hint="eastAsia" w:ascii="Cambria Math" w:hAnsi="Cambria Math" w:eastAsia="仿宋" w:cs="仿宋"/>
                            <w:sz w:val="32"/>
                            <w:szCs w:val="32"/>
                          </w:rPr>
                          <m:t>σ</m:t>
                        </m:r>
                        <m:ctrlPr>
                          <w:rPr>
                            <w:rFonts w:hint="eastAsia" w:ascii="Cambria Math" w:hAnsi="Cambria Math" w:eastAsia="仿宋" w:cs="仿宋"/>
                            <w:sz w:val="32"/>
                            <w:szCs w:val="32"/>
                          </w:rPr>
                        </m:ctrlPr>
                      </m:e>
                      <m:sub>
                        <m:r>
                          <m:rPr>
                            <m:sty m:val="p"/>
                          </m:rPr>
                          <w:rPr>
                            <w:rFonts w:hint="eastAsia" w:ascii="Cambria Math" w:hAnsi="Cambria Math" w:eastAsia="仿宋" w:cs="仿宋"/>
                            <w:sz w:val="32"/>
                            <w:szCs w:val="32"/>
                          </w:rPr>
                          <m:t>i</m:t>
                        </m:r>
                        <m:ctrlPr>
                          <w:rPr>
                            <w:rFonts w:hint="eastAsia" w:ascii="Cambria Math" w:hAnsi="Cambria Math" w:eastAsia="仿宋" w:cs="仿宋"/>
                            <w:sz w:val="32"/>
                            <w:szCs w:val="32"/>
                          </w:rPr>
                        </m:ctrlPr>
                      </m:sub>
                      <m:sup>
                        <m:r>
                          <m:rPr>
                            <m:sty m:val="p"/>
                          </m:rPr>
                          <w:rPr>
                            <w:rFonts w:hint="eastAsia" w:ascii="Cambria Math" w:hAnsi="Cambria Math" w:eastAsia="仿宋" w:cs="仿宋"/>
                            <w:sz w:val="32"/>
                            <w:szCs w:val="32"/>
                          </w:rPr>
                          <m:t>2</m:t>
                        </m:r>
                        <m:ctrlPr>
                          <w:rPr>
                            <w:rFonts w:hint="eastAsia" w:ascii="Cambria Math" w:hAnsi="Cambria Math" w:eastAsia="仿宋" w:cs="仿宋"/>
                            <w:sz w:val="32"/>
                            <w:szCs w:val="32"/>
                          </w:rPr>
                        </m:ctrlPr>
                      </m:sup>
                    </m:sSubSup>
                    <m:ctrlPr>
                      <w:rPr>
                        <w:rFonts w:hint="eastAsia" w:ascii="Cambria Math" w:hAnsi="Cambria Math" w:eastAsia="仿宋" w:cs="仿宋"/>
                        <w:sz w:val="32"/>
                        <w:szCs w:val="32"/>
                      </w:rPr>
                    </m:ctrlPr>
                  </m:e>
                </m:nary>
                <m:ctrlPr>
                  <w:rPr>
                    <w:rFonts w:hint="eastAsia" w:ascii="Cambria Math" w:hAnsi="Cambria Math" w:eastAsia="仿宋" w:cs="仿宋"/>
                    <w:sz w:val="32"/>
                    <w:szCs w:val="32"/>
                  </w:rPr>
                </m:ctrlPr>
              </m:num>
              <m:den>
                <m:sSubSup>
                  <m:sSubSupPr>
                    <m:ctrlPr>
                      <w:rPr>
                        <w:rFonts w:hint="eastAsia" w:ascii="Cambria Math" w:hAnsi="Cambria Math" w:eastAsia="仿宋" w:cs="仿宋"/>
                        <w:sz w:val="32"/>
                        <w:szCs w:val="32"/>
                      </w:rPr>
                    </m:ctrlPr>
                  </m:sSubSupPr>
                  <m:e>
                    <m:r>
                      <m:rPr>
                        <m:sty m:val="p"/>
                      </m:rPr>
                      <w:rPr>
                        <w:rFonts w:hint="eastAsia" w:ascii="Cambria Math" w:hAnsi="Cambria Math" w:eastAsia="仿宋" w:cs="仿宋"/>
                        <w:sz w:val="32"/>
                        <w:szCs w:val="32"/>
                      </w:rPr>
                      <m:t>σ</m:t>
                    </m:r>
                    <m:ctrlPr>
                      <w:rPr>
                        <w:rFonts w:hint="eastAsia" w:ascii="Cambria Math" w:hAnsi="Cambria Math" w:eastAsia="仿宋" w:cs="仿宋"/>
                        <w:sz w:val="32"/>
                        <w:szCs w:val="32"/>
                      </w:rPr>
                    </m:ctrlPr>
                  </m:e>
                  <m:sub>
                    <m:r>
                      <m:rPr>
                        <m:sty m:val="p"/>
                      </m:rPr>
                      <w:rPr>
                        <w:rFonts w:hint="eastAsia" w:ascii="Cambria Math" w:hAnsi="Cambria Math" w:eastAsia="仿宋" w:cs="仿宋"/>
                        <w:sz w:val="32"/>
                        <w:szCs w:val="32"/>
                      </w:rPr>
                      <m:t>T</m:t>
                    </m:r>
                    <m:ctrlPr>
                      <w:rPr>
                        <w:rFonts w:hint="eastAsia" w:ascii="Cambria Math" w:hAnsi="Cambria Math" w:eastAsia="仿宋" w:cs="仿宋"/>
                        <w:sz w:val="32"/>
                        <w:szCs w:val="32"/>
                      </w:rPr>
                    </m:ctrlPr>
                  </m:sub>
                  <m:sup>
                    <m:r>
                      <m:rPr>
                        <m:sty m:val="p"/>
                      </m:rPr>
                      <w:rPr>
                        <w:rFonts w:hint="eastAsia" w:ascii="Cambria Math" w:hAnsi="Cambria Math" w:eastAsia="仿宋" w:cs="仿宋"/>
                        <w:sz w:val="32"/>
                        <w:szCs w:val="32"/>
                      </w:rPr>
                      <m:t>2</m:t>
                    </m:r>
                    <m:ctrlPr>
                      <w:rPr>
                        <w:rFonts w:hint="eastAsia" w:ascii="Cambria Math" w:hAnsi="Cambria Math" w:eastAsia="仿宋" w:cs="仿宋"/>
                        <w:sz w:val="32"/>
                        <w:szCs w:val="32"/>
                      </w:rPr>
                    </m:ctrlPr>
                  </m:sup>
                </m:sSubSup>
                <m:ctrlPr>
                  <w:rPr>
                    <w:rFonts w:hint="eastAsia" w:ascii="Cambria Math" w:hAnsi="Cambria Math" w:eastAsia="仿宋" w:cs="仿宋"/>
                    <w:sz w:val="32"/>
                    <w:szCs w:val="32"/>
                  </w:rPr>
                </m:ctrlPr>
              </m:den>
            </m:f>
            <m:ctrlPr>
              <w:rPr>
                <w:rFonts w:hint="eastAsia" w:ascii="Cambria Math" w:hAnsi="Cambria Math" w:eastAsia="仿宋" w:cs="仿宋"/>
                <w:sz w:val="32"/>
                <w:szCs w:val="32"/>
              </w:rPr>
            </m:ctrlPr>
          </m:e>
        </m:d>
      </m:oMath>
      <w:r>
        <w:rPr>
          <w:rFonts w:hint="eastAsia" w:ascii="仿宋" w:hAnsi="仿宋" w:eastAsia="仿宋" w:cs="仿宋"/>
          <w:sz w:val="32"/>
          <w:szCs w:val="32"/>
        </w:rPr>
        <w:t xml:space="preserve"> ,其中</w:t>
      </w:r>
      <w:r>
        <w:rPr>
          <w:rFonts w:hint="eastAsia" w:ascii="仿宋" w:hAnsi="仿宋" w:eastAsia="仿宋" w:cs="仿宋"/>
          <w:sz w:val="32"/>
          <w:szCs w:val="32"/>
        </w:rPr>
        <w:drawing>
          <wp:inline distT="0" distB="0" distL="0" distR="0">
            <wp:extent cx="142875" cy="142875"/>
            <wp:effectExtent l="0" t="0" r="9525" b="11430"/>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2875" cy="142875"/>
                    </a:xfrm>
                    <a:prstGeom prst="rect">
                      <a:avLst/>
                    </a:prstGeom>
                    <a:noFill/>
                    <a:ln>
                      <a:noFill/>
                    </a:ln>
                  </pic:spPr>
                </pic:pic>
              </a:graphicData>
            </a:graphic>
          </wp:inline>
        </w:drawing>
      </w:r>
      <w:r>
        <w:rPr>
          <w:rFonts w:hint="eastAsia" w:ascii="仿宋" w:hAnsi="仿宋" w:eastAsia="仿宋" w:cs="仿宋"/>
          <w:sz w:val="32"/>
          <w:szCs w:val="32"/>
        </w:rPr>
        <w:t>表示问卷中问题的数目，</w:t>
      </w:r>
      <m:oMath>
        <m:sSubSup>
          <m:sSubSupPr>
            <m:ctrlPr>
              <w:rPr>
                <w:rFonts w:hint="eastAsia" w:ascii="Cambria Math" w:hAnsi="Cambria Math" w:eastAsia="仿宋" w:cs="仿宋"/>
                <w:sz w:val="32"/>
                <w:szCs w:val="32"/>
              </w:rPr>
            </m:ctrlPr>
          </m:sSubSupPr>
          <m:e>
            <m:r>
              <m:rPr>
                <m:sty m:val="p"/>
              </m:rPr>
              <w:rPr>
                <w:rFonts w:hint="eastAsia" w:ascii="Cambria Math" w:hAnsi="Cambria Math" w:eastAsia="仿宋" w:cs="仿宋"/>
                <w:sz w:val="32"/>
                <w:szCs w:val="32"/>
              </w:rPr>
              <m:t>σ</m:t>
            </m:r>
            <m:ctrlPr>
              <w:rPr>
                <w:rFonts w:hint="eastAsia" w:ascii="Cambria Math" w:hAnsi="Cambria Math" w:eastAsia="仿宋" w:cs="仿宋"/>
                <w:sz w:val="32"/>
                <w:szCs w:val="32"/>
              </w:rPr>
            </m:ctrlPr>
          </m:e>
          <m:sub>
            <m:r>
              <m:rPr>
                <m:sty m:val="p"/>
              </m:rPr>
              <w:rPr>
                <w:rFonts w:hint="eastAsia" w:ascii="Cambria Math" w:hAnsi="Cambria Math" w:eastAsia="仿宋" w:cs="仿宋"/>
                <w:sz w:val="32"/>
                <w:szCs w:val="32"/>
              </w:rPr>
              <m:t>i</m:t>
            </m:r>
            <m:ctrlPr>
              <w:rPr>
                <w:rFonts w:hint="eastAsia" w:ascii="Cambria Math" w:hAnsi="Cambria Math" w:eastAsia="仿宋" w:cs="仿宋"/>
                <w:sz w:val="32"/>
                <w:szCs w:val="32"/>
              </w:rPr>
            </m:ctrlPr>
          </m:sub>
          <m:sup>
            <m:r>
              <m:rPr>
                <m:sty m:val="p"/>
              </m:rPr>
              <w:rPr>
                <w:rFonts w:hint="eastAsia" w:ascii="Cambria Math" w:hAnsi="Cambria Math" w:eastAsia="仿宋" w:cs="仿宋"/>
                <w:sz w:val="32"/>
                <w:szCs w:val="32"/>
              </w:rPr>
              <m:t>2</m:t>
            </m:r>
            <m:ctrlPr>
              <w:rPr>
                <w:rFonts w:hint="eastAsia" w:ascii="Cambria Math" w:hAnsi="Cambria Math" w:eastAsia="仿宋" w:cs="仿宋"/>
                <w:sz w:val="32"/>
                <w:szCs w:val="32"/>
              </w:rPr>
            </m:ctrlPr>
          </m:sup>
        </m:sSubSup>
      </m:oMath>
      <w:r>
        <w:rPr>
          <w:rFonts w:hint="eastAsia" w:ascii="仿宋" w:hAnsi="仿宋" w:eastAsia="仿宋" w:cs="仿宋"/>
          <w:sz w:val="32"/>
          <w:szCs w:val="32"/>
        </w:rPr>
        <w:t>为第</w:t>
      </w:r>
      <w:r>
        <w:rPr>
          <w:rFonts w:hint="eastAsia" w:ascii="Times New Roman" w:hAnsi="Times New Roman" w:eastAsia="仿宋" w:cs="仿宋"/>
          <w:sz w:val="32"/>
          <w:szCs w:val="32"/>
        </w:rPr>
        <w:t>i</w:t>
      </w:r>
      <w:r>
        <w:rPr>
          <w:rFonts w:hint="eastAsia" w:ascii="仿宋" w:hAnsi="仿宋" w:eastAsia="仿宋" w:cs="仿宋"/>
          <w:sz w:val="32"/>
          <w:szCs w:val="32"/>
        </w:rPr>
        <w:t>个问题得分的方差，</w:t>
      </w:r>
      <m:oMath>
        <m:sSubSup>
          <m:sSubSupPr>
            <m:ctrlPr>
              <w:rPr>
                <w:rFonts w:hint="eastAsia" w:ascii="Cambria Math" w:hAnsi="Cambria Math" w:eastAsia="仿宋" w:cs="仿宋"/>
                <w:sz w:val="32"/>
                <w:szCs w:val="32"/>
              </w:rPr>
            </m:ctrlPr>
          </m:sSubSupPr>
          <m:e>
            <m:r>
              <m:rPr>
                <m:sty m:val="p"/>
              </m:rPr>
              <w:rPr>
                <w:rFonts w:hint="eastAsia" w:ascii="Cambria Math" w:hAnsi="Cambria Math" w:eastAsia="仿宋" w:cs="仿宋"/>
                <w:sz w:val="32"/>
                <w:szCs w:val="32"/>
              </w:rPr>
              <m:t>σ</m:t>
            </m:r>
            <m:ctrlPr>
              <w:rPr>
                <w:rFonts w:hint="eastAsia" w:ascii="Cambria Math" w:hAnsi="Cambria Math" w:eastAsia="仿宋" w:cs="仿宋"/>
                <w:sz w:val="32"/>
                <w:szCs w:val="32"/>
              </w:rPr>
            </m:ctrlPr>
          </m:e>
          <m:sub>
            <m:r>
              <m:rPr>
                <m:sty m:val="p"/>
              </m:rPr>
              <w:rPr>
                <w:rFonts w:hint="eastAsia" w:ascii="Cambria Math" w:hAnsi="Cambria Math" w:eastAsia="仿宋" w:cs="仿宋"/>
                <w:sz w:val="32"/>
                <w:szCs w:val="32"/>
              </w:rPr>
              <m:t>T</m:t>
            </m:r>
            <m:ctrlPr>
              <w:rPr>
                <w:rFonts w:hint="eastAsia" w:ascii="Cambria Math" w:hAnsi="Cambria Math" w:eastAsia="仿宋" w:cs="仿宋"/>
                <w:sz w:val="32"/>
                <w:szCs w:val="32"/>
              </w:rPr>
            </m:ctrlPr>
          </m:sub>
          <m:sup>
            <m:r>
              <m:rPr>
                <m:sty m:val="p"/>
              </m:rPr>
              <w:rPr>
                <w:rFonts w:hint="eastAsia" w:ascii="Cambria Math" w:hAnsi="Cambria Math" w:eastAsia="仿宋" w:cs="仿宋"/>
                <w:sz w:val="32"/>
                <w:szCs w:val="32"/>
              </w:rPr>
              <m:t>2</m:t>
            </m:r>
            <m:ctrlPr>
              <w:rPr>
                <w:rFonts w:hint="eastAsia" w:ascii="Cambria Math" w:hAnsi="Cambria Math" w:eastAsia="仿宋" w:cs="仿宋"/>
                <w:sz w:val="32"/>
                <w:szCs w:val="32"/>
              </w:rPr>
            </m:ctrlPr>
          </m:sup>
        </m:sSubSup>
      </m:oMath>
      <w:r>
        <w:rPr>
          <w:rFonts w:hint="eastAsia" w:ascii="仿宋" w:hAnsi="仿宋" w:eastAsia="仿宋" w:cs="仿宋"/>
          <w:sz w:val="32"/>
          <w:szCs w:val="32"/>
        </w:rPr>
        <w:t>为总得分的方差。</w:t>
      </w:r>
    </w:p>
    <w:p>
      <w:pPr>
        <w:ind w:firstLine="640" w:firstLineChars="200"/>
        <w:rPr>
          <w:rFonts w:ascii="仿宋" w:hAnsi="仿宋" w:eastAsia="仿宋" w:cs="仿宋"/>
          <w:sz w:val="32"/>
          <w:szCs w:val="32"/>
        </w:rPr>
      </w:pPr>
      <w:r>
        <w:rPr>
          <w:rFonts w:hint="eastAsia" w:ascii="仿宋" w:hAnsi="仿宋" w:eastAsia="仿宋" w:cs="仿宋"/>
          <w:sz w:val="32"/>
          <w:szCs w:val="32"/>
        </w:rPr>
        <w:t>通常情况下，信度系数在</w:t>
      </w:r>
      <w:r>
        <w:rPr>
          <w:rFonts w:hint="eastAsia" w:ascii="Times New Roman" w:hAnsi="Times New Roman" w:eastAsia="仿宋" w:cs="仿宋"/>
          <w:sz w:val="32"/>
          <w:szCs w:val="32"/>
        </w:rPr>
        <w:t>0</w:t>
      </w:r>
      <w:r>
        <w:rPr>
          <w:rFonts w:hint="eastAsia" w:ascii="仿宋" w:hAnsi="仿宋" w:eastAsia="仿宋" w:cs="仿宋"/>
          <w:sz w:val="32"/>
          <w:szCs w:val="32"/>
        </w:rPr>
        <w:t>.</w:t>
      </w:r>
      <w:r>
        <w:rPr>
          <w:rFonts w:hint="eastAsia" w:ascii="Times New Roman" w:hAnsi="Times New Roman" w:eastAsia="仿宋" w:cs="仿宋"/>
          <w:sz w:val="32"/>
          <w:szCs w:val="32"/>
        </w:rPr>
        <w:t>9</w:t>
      </w:r>
      <w:r>
        <w:rPr>
          <w:rFonts w:hint="eastAsia" w:ascii="仿宋" w:hAnsi="仿宋" w:eastAsia="仿宋" w:cs="仿宋"/>
          <w:sz w:val="32"/>
          <w:szCs w:val="32"/>
        </w:rPr>
        <w:t>以上，则认为量表的内在信度高；信度系数在</w:t>
      </w:r>
      <w:r>
        <w:rPr>
          <w:rFonts w:hint="eastAsia" w:ascii="Times New Roman" w:hAnsi="Times New Roman" w:eastAsia="仿宋" w:cs="仿宋"/>
          <w:sz w:val="32"/>
          <w:szCs w:val="32"/>
        </w:rPr>
        <w:t>0</w:t>
      </w:r>
      <w:r>
        <w:rPr>
          <w:rFonts w:hint="eastAsia" w:ascii="仿宋" w:hAnsi="仿宋" w:eastAsia="仿宋" w:cs="仿宋"/>
          <w:sz w:val="32"/>
          <w:szCs w:val="32"/>
        </w:rPr>
        <w:t>.</w:t>
      </w:r>
      <w:r>
        <w:rPr>
          <w:rFonts w:hint="eastAsia" w:ascii="Times New Roman" w:hAnsi="Times New Roman" w:eastAsia="仿宋" w:cs="仿宋"/>
          <w:sz w:val="32"/>
          <w:szCs w:val="32"/>
        </w:rPr>
        <w:t>8</w:t>
      </w:r>
      <w:r>
        <w:rPr>
          <w:rFonts w:hint="eastAsia" w:ascii="仿宋" w:hAnsi="仿宋" w:eastAsia="仿宋" w:cs="仿宋"/>
          <w:sz w:val="32"/>
          <w:szCs w:val="32"/>
        </w:rPr>
        <w:t>～</w:t>
      </w:r>
      <w:r>
        <w:rPr>
          <w:rFonts w:hint="eastAsia" w:ascii="Times New Roman" w:hAnsi="Times New Roman" w:eastAsia="仿宋" w:cs="仿宋"/>
          <w:sz w:val="32"/>
          <w:szCs w:val="32"/>
        </w:rPr>
        <w:t>0</w:t>
      </w:r>
      <w:r>
        <w:rPr>
          <w:rFonts w:hint="eastAsia" w:ascii="仿宋" w:hAnsi="仿宋" w:eastAsia="仿宋" w:cs="仿宋"/>
          <w:sz w:val="32"/>
          <w:szCs w:val="32"/>
        </w:rPr>
        <w:t>.</w:t>
      </w:r>
      <w:r>
        <w:rPr>
          <w:rFonts w:hint="eastAsia" w:ascii="Times New Roman" w:hAnsi="Times New Roman" w:eastAsia="仿宋" w:cs="仿宋"/>
          <w:sz w:val="32"/>
          <w:szCs w:val="32"/>
        </w:rPr>
        <w:t>9</w:t>
      </w:r>
      <w:r>
        <w:rPr>
          <w:rFonts w:hint="eastAsia" w:ascii="仿宋" w:hAnsi="仿宋" w:eastAsia="仿宋" w:cs="仿宋"/>
          <w:sz w:val="32"/>
          <w:szCs w:val="32"/>
        </w:rPr>
        <w:t>之间，则表示量表信度较高；信度系数在</w:t>
      </w:r>
      <w:r>
        <w:rPr>
          <w:rFonts w:hint="eastAsia" w:ascii="Times New Roman" w:hAnsi="Times New Roman" w:eastAsia="仿宋" w:cs="仿宋"/>
          <w:sz w:val="32"/>
          <w:szCs w:val="32"/>
        </w:rPr>
        <w:t>0</w:t>
      </w:r>
      <w:r>
        <w:rPr>
          <w:rFonts w:hint="eastAsia" w:ascii="仿宋" w:hAnsi="仿宋" w:eastAsia="仿宋" w:cs="仿宋"/>
          <w:sz w:val="32"/>
          <w:szCs w:val="32"/>
        </w:rPr>
        <w:t>.</w:t>
      </w:r>
      <w:r>
        <w:rPr>
          <w:rFonts w:hint="eastAsia" w:ascii="Times New Roman" w:hAnsi="Times New Roman" w:eastAsia="仿宋" w:cs="仿宋"/>
          <w:sz w:val="32"/>
          <w:szCs w:val="32"/>
        </w:rPr>
        <w:t>7</w:t>
      </w:r>
      <w:r>
        <w:rPr>
          <w:rFonts w:hint="eastAsia" w:ascii="仿宋" w:hAnsi="仿宋" w:eastAsia="仿宋" w:cs="仿宋"/>
          <w:sz w:val="32"/>
          <w:szCs w:val="32"/>
        </w:rPr>
        <w:t>～</w:t>
      </w:r>
      <w:r>
        <w:rPr>
          <w:rFonts w:hint="eastAsia" w:ascii="Times New Roman" w:hAnsi="Times New Roman" w:eastAsia="仿宋" w:cs="仿宋"/>
          <w:sz w:val="32"/>
          <w:szCs w:val="32"/>
        </w:rPr>
        <w:t>0</w:t>
      </w:r>
      <w:r>
        <w:rPr>
          <w:rFonts w:hint="eastAsia" w:ascii="仿宋" w:hAnsi="仿宋" w:eastAsia="仿宋" w:cs="仿宋"/>
          <w:sz w:val="32"/>
          <w:szCs w:val="32"/>
        </w:rPr>
        <w:t>.</w:t>
      </w:r>
      <w:r>
        <w:rPr>
          <w:rFonts w:hint="eastAsia" w:ascii="Times New Roman" w:hAnsi="Times New Roman" w:eastAsia="仿宋" w:cs="仿宋"/>
          <w:sz w:val="32"/>
          <w:szCs w:val="32"/>
        </w:rPr>
        <w:t>8</w:t>
      </w:r>
      <w:r>
        <w:rPr>
          <w:rFonts w:hint="eastAsia" w:ascii="仿宋" w:hAnsi="仿宋" w:eastAsia="仿宋" w:cs="仿宋"/>
          <w:sz w:val="32"/>
          <w:szCs w:val="32"/>
        </w:rPr>
        <w:t>之间，表示量表具有相当的信度；信度系数不超过</w:t>
      </w:r>
      <w:r>
        <w:rPr>
          <w:rFonts w:hint="eastAsia" w:ascii="Times New Roman" w:hAnsi="Times New Roman" w:eastAsia="仿宋" w:cs="仿宋"/>
          <w:sz w:val="32"/>
          <w:szCs w:val="32"/>
        </w:rPr>
        <w:t>0</w:t>
      </w:r>
      <w:r>
        <w:rPr>
          <w:rFonts w:hint="eastAsia" w:ascii="仿宋" w:hAnsi="仿宋" w:eastAsia="仿宋" w:cs="仿宋"/>
          <w:sz w:val="32"/>
          <w:szCs w:val="32"/>
        </w:rPr>
        <w:t>.</w:t>
      </w:r>
      <w:r>
        <w:rPr>
          <w:rFonts w:hint="eastAsia" w:ascii="Times New Roman" w:hAnsi="Times New Roman" w:eastAsia="仿宋" w:cs="仿宋"/>
          <w:sz w:val="32"/>
          <w:szCs w:val="32"/>
        </w:rPr>
        <w:t>7</w:t>
      </w:r>
      <w:r>
        <w:rPr>
          <w:rFonts w:hint="eastAsia" w:ascii="仿宋" w:hAnsi="仿宋" w:eastAsia="仿宋" w:cs="仿宋"/>
          <w:sz w:val="32"/>
          <w:szCs w:val="32"/>
        </w:rPr>
        <w:t>，一般认为内部一致信度太低，不宜采用。</w:t>
      </w:r>
    </w:p>
    <w:p>
      <w:pPr>
        <w:ind w:firstLine="640" w:firstLineChars="200"/>
        <w:rPr>
          <w:rFonts w:ascii="仿宋" w:hAnsi="仿宋" w:eastAsia="仿宋" w:cs="仿宋"/>
          <w:sz w:val="32"/>
          <w:szCs w:val="32"/>
        </w:rPr>
      </w:pPr>
      <w:r>
        <w:rPr>
          <w:rFonts w:hint="eastAsia" w:ascii="仿宋" w:hAnsi="仿宋" w:eastAsia="仿宋" w:cs="仿宋"/>
          <w:sz w:val="32"/>
          <w:szCs w:val="32"/>
        </w:rPr>
        <w:t>调查数据计算显示，此次项目满意度问卷的信度为</w:t>
      </w:r>
      <w:r>
        <w:rPr>
          <w:rFonts w:hint="eastAsia" w:ascii="Times New Roman" w:hAnsi="Times New Roman" w:eastAsia="仿宋" w:cs="仿宋"/>
          <w:sz w:val="32"/>
          <w:szCs w:val="32"/>
        </w:rPr>
        <w:t>0</w:t>
      </w:r>
      <w:r>
        <w:rPr>
          <w:rFonts w:hint="eastAsia" w:ascii="仿宋" w:hAnsi="仿宋" w:eastAsia="仿宋" w:cs="仿宋"/>
          <w:sz w:val="32"/>
          <w:szCs w:val="32"/>
        </w:rPr>
        <w:t>.</w:t>
      </w:r>
      <w:r>
        <w:rPr>
          <w:rFonts w:hint="eastAsia" w:ascii="Times New Roman" w:hAnsi="Times New Roman" w:eastAsia="仿宋" w:cs="仿宋"/>
          <w:sz w:val="32"/>
          <w:szCs w:val="32"/>
        </w:rPr>
        <w:t>86</w:t>
      </w:r>
      <w:r>
        <w:rPr>
          <w:rFonts w:hint="eastAsia" w:ascii="仿宋" w:hAnsi="仿宋" w:eastAsia="仿宋" w:cs="仿宋"/>
          <w:sz w:val="32"/>
          <w:szCs w:val="32"/>
        </w:rPr>
        <w:t>，表明问卷整体可信度较高，基于问卷进行的数据统计分析结果较为可靠。</w:t>
      </w:r>
    </w:p>
    <w:p>
      <w:pPr>
        <w:widowControl w:val="0"/>
        <w:ind w:firstLine="640" w:firstLineChars="200"/>
        <w:rPr>
          <w:rFonts w:ascii="楷体" w:hAnsi="楷体" w:eastAsia="楷体"/>
          <w:bCs/>
          <w:sz w:val="32"/>
          <w:szCs w:val="32"/>
        </w:rPr>
      </w:pPr>
      <w:r>
        <w:rPr>
          <w:rFonts w:hint="eastAsia" w:ascii="楷体" w:hAnsi="楷体" w:eastAsia="楷体"/>
          <w:bCs/>
          <w:sz w:val="32"/>
          <w:szCs w:val="32"/>
        </w:rPr>
        <w:t>（二）效度分析</w:t>
      </w:r>
    </w:p>
    <w:p>
      <w:pPr>
        <w:ind w:firstLine="640" w:firstLineChars="200"/>
        <w:rPr>
          <w:rFonts w:ascii="仿宋" w:hAnsi="仿宋" w:eastAsia="仿宋" w:cs="仿宋"/>
          <w:sz w:val="32"/>
          <w:szCs w:val="32"/>
        </w:rPr>
      </w:pPr>
      <w:r>
        <w:rPr>
          <w:rFonts w:hint="eastAsia" w:ascii="仿宋" w:hAnsi="仿宋" w:eastAsia="仿宋" w:cs="仿宋"/>
          <w:sz w:val="32"/>
          <w:szCs w:val="32"/>
        </w:rPr>
        <w:t>效度（</w:t>
      </w:r>
      <w:r>
        <w:rPr>
          <w:rFonts w:hint="eastAsia" w:ascii="Times New Roman" w:hAnsi="Times New Roman" w:eastAsia="仿宋" w:cs="仿宋"/>
          <w:sz w:val="32"/>
          <w:szCs w:val="32"/>
        </w:rPr>
        <w:t>Validity</w:t>
      </w:r>
      <w:r>
        <w:rPr>
          <w:rFonts w:hint="eastAsia" w:ascii="仿宋" w:hAnsi="仿宋" w:eastAsia="仿宋" w:cs="仿宋"/>
          <w:sz w:val="32"/>
          <w:szCs w:val="32"/>
        </w:rPr>
        <w:t>）用于评价量表的准确度、有效性和正确性，即检验问卷是否能简洁、准确地描述抽样数据的属性和特征以及它们之间的复杂关系。效度越高则表示该问卷检测的结果所代表的要检测的行为的真实度越高，就越能达到问卷检测的目的。本次问卷调查运用相关系数来估算满意度问题的信度，其计算公式为：</w:t>
      </w:r>
      <m:oMath>
        <m:r>
          <m:rPr>
            <m:sty m:val="p"/>
          </m:rPr>
          <w:rPr>
            <w:rFonts w:hint="eastAsia" w:ascii="Cambria Math" w:hAnsi="Cambria Math" w:eastAsia="仿宋" w:cs="仿宋"/>
            <w:sz w:val="32"/>
            <w:szCs w:val="32"/>
          </w:rPr>
          <m:t>r=</m:t>
        </m:r>
        <m:f>
          <m:fPr>
            <m:ctrlPr>
              <w:rPr>
                <w:rFonts w:hint="eastAsia" w:ascii="Cambria Math" w:hAnsi="Cambria Math" w:eastAsia="仿宋" w:cs="仿宋"/>
                <w:sz w:val="32"/>
                <w:szCs w:val="32"/>
              </w:rPr>
            </m:ctrlPr>
          </m:fPr>
          <m:num>
            <m:nary>
              <m:naryPr>
                <m:chr m:val="∑"/>
                <m:limLoc m:val="undOvr"/>
                <m:subHide m:val="1"/>
                <m:supHide m:val="1"/>
                <m:ctrlPr>
                  <w:rPr>
                    <w:rFonts w:hint="eastAsia" w:ascii="Cambria Math" w:hAnsi="Cambria Math" w:eastAsia="仿宋" w:cs="仿宋"/>
                    <w:sz w:val="32"/>
                    <w:szCs w:val="32"/>
                  </w:rPr>
                </m:ctrlPr>
              </m:naryPr>
              <m:sub>
                <m:ctrlPr>
                  <w:rPr>
                    <w:rFonts w:hint="eastAsia" w:ascii="Cambria Math" w:hAnsi="Cambria Math" w:eastAsia="仿宋" w:cs="仿宋"/>
                    <w:sz w:val="32"/>
                    <w:szCs w:val="32"/>
                  </w:rPr>
                </m:ctrlPr>
              </m:sub>
              <m:sup>
                <m:ctrlPr>
                  <w:rPr>
                    <w:rFonts w:hint="eastAsia" w:ascii="Cambria Math" w:hAnsi="Cambria Math" w:eastAsia="仿宋" w:cs="仿宋"/>
                    <w:sz w:val="32"/>
                    <w:szCs w:val="32"/>
                  </w:rPr>
                </m:ctrlPr>
              </m:sup>
              <m:e>
                <m:r>
                  <m:rPr>
                    <m:sty m:val="p"/>
                  </m:rPr>
                  <w:rPr>
                    <w:rFonts w:hint="eastAsia" w:ascii="Cambria Math" w:hAnsi="Cambria Math" w:eastAsia="仿宋" w:cs="仿宋"/>
                    <w:sz w:val="32"/>
                    <w:szCs w:val="32"/>
                  </w:rPr>
                  <m:t>xy</m:t>
                </m:r>
                <m:ctrlPr>
                  <w:rPr>
                    <w:rFonts w:hint="eastAsia" w:ascii="Cambria Math" w:hAnsi="Cambria Math" w:eastAsia="仿宋" w:cs="仿宋"/>
                    <w:sz w:val="32"/>
                    <w:szCs w:val="32"/>
                  </w:rPr>
                </m:ctrlPr>
              </m:e>
            </m:nary>
            <m:ctrlPr>
              <w:rPr>
                <w:rFonts w:hint="eastAsia" w:ascii="Cambria Math" w:hAnsi="Cambria Math" w:eastAsia="仿宋" w:cs="仿宋"/>
                <w:sz w:val="32"/>
                <w:szCs w:val="32"/>
              </w:rPr>
            </m:ctrlPr>
          </m:num>
          <m:den>
            <m:eqArr>
              <m:eqArrPr>
                <m:ctrlPr>
                  <w:rPr>
                    <w:rFonts w:hint="eastAsia" w:ascii="Cambria Math" w:hAnsi="Cambria Math" w:eastAsia="仿宋" w:cs="仿宋"/>
                    <w:sz w:val="32"/>
                    <w:szCs w:val="32"/>
                  </w:rPr>
                </m:ctrlPr>
              </m:eqArrPr>
              <m:e>
                <m:rad>
                  <m:radPr>
                    <m:degHide m:val="1"/>
                    <m:ctrlPr>
                      <w:rPr>
                        <w:rFonts w:hint="eastAsia" w:ascii="Cambria Math" w:hAnsi="Cambria Math" w:eastAsia="仿宋" w:cs="仿宋"/>
                        <w:sz w:val="32"/>
                        <w:szCs w:val="32"/>
                      </w:rPr>
                    </m:ctrlPr>
                  </m:radPr>
                  <m:deg>
                    <m:ctrlPr>
                      <w:rPr>
                        <w:rFonts w:hint="eastAsia" w:ascii="Cambria Math" w:hAnsi="Cambria Math" w:eastAsia="仿宋" w:cs="仿宋"/>
                        <w:sz w:val="32"/>
                        <w:szCs w:val="32"/>
                      </w:rPr>
                    </m:ctrlPr>
                  </m:deg>
                  <m:e>
                    <m:nary>
                      <m:naryPr>
                        <m:chr m:val="∑"/>
                        <m:limLoc m:val="undOvr"/>
                        <m:subHide m:val="1"/>
                        <m:supHide m:val="1"/>
                        <m:ctrlPr>
                          <w:rPr>
                            <w:rFonts w:hint="eastAsia" w:ascii="Cambria Math" w:hAnsi="Cambria Math" w:eastAsia="仿宋" w:cs="仿宋"/>
                            <w:sz w:val="32"/>
                            <w:szCs w:val="32"/>
                          </w:rPr>
                        </m:ctrlPr>
                      </m:naryPr>
                      <m:sub>
                        <m:ctrlPr>
                          <w:rPr>
                            <w:rFonts w:hint="eastAsia" w:ascii="Cambria Math" w:hAnsi="Cambria Math" w:eastAsia="仿宋" w:cs="仿宋"/>
                            <w:sz w:val="32"/>
                            <w:szCs w:val="32"/>
                          </w:rPr>
                        </m:ctrlPr>
                      </m:sub>
                      <m:sup>
                        <m:ctrlPr>
                          <w:rPr>
                            <w:rFonts w:hint="eastAsia" w:ascii="Cambria Math" w:hAnsi="Cambria Math" w:eastAsia="仿宋" w:cs="仿宋"/>
                            <w:sz w:val="32"/>
                            <w:szCs w:val="32"/>
                          </w:rPr>
                        </m:ctrlPr>
                      </m:sup>
                      <m:e>
                        <m:sSup>
                          <m:sSupPr>
                            <m:ctrlPr>
                              <w:rPr>
                                <w:rFonts w:hint="eastAsia" w:ascii="Cambria Math" w:hAnsi="Cambria Math" w:eastAsia="仿宋" w:cs="仿宋"/>
                                <w:sz w:val="32"/>
                                <w:szCs w:val="32"/>
                              </w:rPr>
                            </m:ctrlPr>
                          </m:sSupPr>
                          <m:e>
                            <m:r>
                              <m:rPr>
                                <m:sty m:val="p"/>
                              </m:rPr>
                              <w:rPr>
                                <w:rFonts w:hint="eastAsia" w:ascii="Cambria Math" w:hAnsi="Cambria Math" w:eastAsia="仿宋" w:cs="仿宋"/>
                                <w:sz w:val="32"/>
                                <w:szCs w:val="32"/>
                              </w:rPr>
                              <m:t>x</m:t>
                            </m:r>
                            <m:ctrlPr>
                              <w:rPr>
                                <w:rFonts w:hint="eastAsia" w:ascii="Cambria Math" w:hAnsi="Cambria Math" w:eastAsia="仿宋" w:cs="仿宋"/>
                                <w:sz w:val="32"/>
                                <w:szCs w:val="32"/>
                              </w:rPr>
                            </m:ctrlPr>
                          </m:e>
                          <m:sup>
                            <m:r>
                              <m:rPr>
                                <m:sty m:val="p"/>
                              </m:rPr>
                              <w:rPr>
                                <w:rFonts w:hint="eastAsia" w:ascii="Cambria Math" w:hAnsi="Cambria Math" w:eastAsia="仿宋" w:cs="仿宋"/>
                                <w:sz w:val="32"/>
                                <w:szCs w:val="32"/>
                              </w:rPr>
                              <m:t>2</m:t>
                            </m:r>
                            <m:ctrlPr>
                              <w:rPr>
                                <w:rFonts w:hint="eastAsia" w:ascii="Cambria Math" w:hAnsi="Cambria Math" w:eastAsia="仿宋" w:cs="仿宋"/>
                                <w:sz w:val="32"/>
                                <w:szCs w:val="32"/>
                              </w:rPr>
                            </m:ctrlPr>
                          </m:sup>
                        </m:sSup>
                        <m:ctrlPr>
                          <w:rPr>
                            <w:rFonts w:hint="eastAsia" w:ascii="Cambria Math" w:hAnsi="Cambria Math" w:eastAsia="仿宋" w:cs="仿宋"/>
                            <w:sz w:val="32"/>
                            <w:szCs w:val="32"/>
                          </w:rPr>
                        </m:ctrlPr>
                      </m:e>
                    </m:nary>
                    <m:rad>
                      <m:radPr>
                        <m:degHide m:val="1"/>
                        <m:ctrlPr>
                          <w:rPr>
                            <w:rFonts w:hint="eastAsia" w:ascii="Cambria Math" w:hAnsi="Cambria Math" w:eastAsia="仿宋" w:cs="仿宋"/>
                            <w:sz w:val="32"/>
                            <w:szCs w:val="32"/>
                          </w:rPr>
                        </m:ctrlPr>
                      </m:radPr>
                      <m:deg>
                        <m:ctrlPr>
                          <w:rPr>
                            <w:rFonts w:hint="eastAsia" w:ascii="Cambria Math" w:hAnsi="Cambria Math" w:eastAsia="仿宋" w:cs="仿宋"/>
                            <w:sz w:val="32"/>
                            <w:szCs w:val="32"/>
                          </w:rPr>
                        </m:ctrlPr>
                      </m:deg>
                      <m:e>
                        <m:nary>
                          <m:naryPr>
                            <m:chr m:val="∑"/>
                            <m:limLoc m:val="undOvr"/>
                            <m:subHide m:val="1"/>
                            <m:supHide m:val="1"/>
                            <m:ctrlPr>
                              <w:rPr>
                                <w:rFonts w:hint="eastAsia" w:ascii="Cambria Math" w:hAnsi="Cambria Math" w:eastAsia="仿宋" w:cs="仿宋"/>
                                <w:sz w:val="32"/>
                                <w:szCs w:val="32"/>
                              </w:rPr>
                            </m:ctrlPr>
                          </m:naryPr>
                          <m:sub>
                            <m:ctrlPr>
                              <w:rPr>
                                <w:rFonts w:hint="eastAsia" w:ascii="Cambria Math" w:hAnsi="Cambria Math" w:eastAsia="仿宋" w:cs="仿宋"/>
                                <w:sz w:val="32"/>
                                <w:szCs w:val="32"/>
                              </w:rPr>
                            </m:ctrlPr>
                          </m:sub>
                          <m:sup>
                            <m:ctrlPr>
                              <w:rPr>
                                <w:rFonts w:hint="eastAsia" w:ascii="Cambria Math" w:hAnsi="Cambria Math" w:eastAsia="仿宋" w:cs="仿宋"/>
                                <w:sz w:val="32"/>
                                <w:szCs w:val="32"/>
                              </w:rPr>
                            </m:ctrlPr>
                          </m:sup>
                          <m:e>
                            <m:sSup>
                              <m:sSupPr>
                                <m:ctrlPr>
                                  <w:rPr>
                                    <w:rFonts w:hint="eastAsia" w:ascii="Cambria Math" w:hAnsi="Cambria Math" w:eastAsia="仿宋" w:cs="仿宋"/>
                                    <w:sz w:val="32"/>
                                    <w:szCs w:val="32"/>
                                  </w:rPr>
                                </m:ctrlPr>
                              </m:sSupPr>
                              <m:e>
                                <m:r>
                                  <m:rPr>
                                    <m:sty m:val="p"/>
                                  </m:rPr>
                                  <w:rPr>
                                    <w:rFonts w:hint="eastAsia" w:ascii="Cambria Math" w:hAnsi="Cambria Math" w:eastAsia="仿宋" w:cs="仿宋"/>
                                    <w:sz w:val="32"/>
                                    <w:szCs w:val="32"/>
                                  </w:rPr>
                                  <m:t>y</m:t>
                                </m:r>
                                <m:ctrlPr>
                                  <w:rPr>
                                    <w:rFonts w:hint="eastAsia" w:ascii="Cambria Math" w:hAnsi="Cambria Math" w:eastAsia="仿宋" w:cs="仿宋"/>
                                    <w:sz w:val="32"/>
                                    <w:szCs w:val="32"/>
                                  </w:rPr>
                                </m:ctrlPr>
                              </m:e>
                              <m:sup>
                                <m:r>
                                  <m:rPr>
                                    <m:sty m:val="p"/>
                                  </m:rPr>
                                  <w:rPr>
                                    <w:rFonts w:hint="eastAsia" w:ascii="Cambria Math" w:hAnsi="Cambria Math" w:eastAsia="仿宋" w:cs="仿宋"/>
                                    <w:sz w:val="32"/>
                                    <w:szCs w:val="32"/>
                                  </w:rPr>
                                  <m:t>2</m:t>
                                </m:r>
                                <m:ctrlPr>
                                  <w:rPr>
                                    <w:rFonts w:hint="eastAsia" w:ascii="Cambria Math" w:hAnsi="Cambria Math" w:eastAsia="仿宋" w:cs="仿宋"/>
                                    <w:sz w:val="32"/>
                                    <w:szCs w:val="32"/>
                                  </w:rPr>
                                </m:ctrlPr>
                              </m:sup>
                            </m:sSup>
                            <m:ctrlPr>
                              <w:rPr>
                                <w:rFonts w:hint="eastAsia" w:ascii="Cambria Math" w:hAnsi="Cambria Math" w:eastAsia="仿宋" w:cs="仿宋"/>
                                <w:sz w:val="32"/>
                                <w:szCs w:val="32"/>
                              </w:rPr>
                            </m:ctrlPr>
                          </m:e>
                        </m:nary>
                        <m:ctrlPr>
                          <w:rPr>
                            <w:rFonts w:hint="eastAsia" w:ascii="Cambria Math" w:hAnsi="Cambria Math" w:eastAsia="仿宋" w:cs="仿宋"/>
                            <w:sz w:val="32"/>
                            <w:szCs w:val="32"/>
                          </w:rPr>
                        </m:ctrlPr>
                      </m:e>
                    </m:rad>
                    <m:ctrlPr>
                      <w:rPr>
                        <w:rFonts w:hint="eastAsia" w:ascii="Cambria Math" w:hAnsi="Cambria Math" w:eastAsia="仿宋" w:cs="仿宋"/>
                        <w:sz w:val="32"/>
                        <w:szCs w:val="32"/>
                      </w:rPr>
                    </m:ctrlPr>
                  </m:e>
                </m:rad>
                <m:ctrlPr>
                  <w:rPr>
                    <w:rFonts w:hint="eastAsia" w:ascii="Cambria Math" w:hAnsi="Cambria Math" w:eastAsia="仿宋" w:cs="仿宋"/>
                    <w:sz w:val="32"/>
                    <w:szCs w:val="32"/>
                  </w:rPr>
                </m:ctrlPr>
              </m:e>
            </m:eqArr>
            <m:ctrlPr>
              <w:rPr>
                <w:rFonts w:hint="eastAsia" w:ascii="Cambria Math" w:hAnsi="Cambria Math" w:eastAsia="仿宋" w:cs="仿宋"/>
                <w:sz w:val="32"/>
                <w:szCs w:val="32"/>
              </w:rPr>
            </m:ctrlPr>
          </m:den>
        </m:f>
      </m:oMath>
      <w:r>
        <w:rPr>
          <w:rFonts w:hint="eastAsia" w:ascii="仿宋" w:hAnsi="仿宋" w:eastAsia="仿宋" w:cs="仿宋"/>
          <w:sz w:val="32"/>
          <w:szCs w:val="32"/>
        </w:rPr>
        <w:t>其中，</w:t>
      </w:r>
      <m:oMath>
        <m:r>
          <m:rPr>
            <m:sty m:val="p"/>
          </m:rPr>
          <w:rPr>
            <w:rFonts w:hint="eastAsia" w:ascii="Cambria Math" w:hAnsi="Cambria Math" w:eastAsia="仿宋" w:cs="仿宋"/>
            <w:sz w:val="32"/>
            <w:szCs w:val="32"/>
          </w:rPr>
          <m:t>x=</m:t>
        </m:r>
        <m:sSub>
          <m:sSubPr>
            <m:ctrlPr>
              <w:rPr>
                <w:rFonts w:hint="eastAsia" w:ascii="Cambria Math" w:hAnsi="Cambria Math" w:eastAsia="仿宋" w:cs="仿宋"/>
                <w:sz w:val="32"/>
                <w:szCs w:val="32"/>
              </w:rPr>
            </m:ctrlPr>
          </m:sSubPr>
          <m:e>
            <m:r>
              <m:rPr>
                <m:sty m:val="p"/>
              </m:rPr>
              <w:rPr>
                <w:rFonts w:hint="eastAsia" w:ascii="Cambria Math" w:hAnsi="Cambria Math" w:eastAsia="仿宋" w:cs="仿宋"/>
                <w:sz w:val="32"/>
                <w:szCs w:val="32"/>
              </w:rPr>
              <m:t>x</m:t>
            </m:r>
            <m:ctrlPr>
              <w:rPr>
                <w:rFonts w:hint="eastAsia" w:ascii="Cambria Math" w:hAnsi="Cambria Math" w:eastAsia="仿宋" w:cs="仿宋"/>
                <w:sz w:val="32"/>
                <w:szCs w:val="32"/>
              </w:rPr>
            </m:ctrlPr>
          </m:e>
          <m:sub>
            <m:r>
              <m:rPr>
                <m:sty m:val="p"/>
              </m:rPr>
              <w:rPr>
                <w:rFonts w:hint="eastAsia" w:ascii="Cambria Math" w:hAnsi="Cambria Math" w:eastAsia="仿宋" w:cs="仿宋"/>
                <w:sz w:val="32"/>
                <w:szCs w:val="32"/>
              </w:rPr>
              <m:t>i</m:t>
            </m:r>
            <m:ctrlPr>
              <w:rPr>
                <w:rFonts w:hint="eastAsia" w:ascii="Cambria Math" w:hAnsi="Cambria Math" w:eastAsia="仿宋" w:cs="仿宋"/>
                <w:sz w:val="32"/>
                <w:szCs w:val="32"/>
              </w:rPr>
            </m:ctrlPr>
          </m:sub>
        </m:sSub>
        <m:r>
          <m:rPr>
            <m:sty m:val="p"/>
          </m:rPr>
          <w:rPr>
            <w:rFonts w:hint="eastAsia" w:ascii="Cambria Math" w:hAnsi="Cambria Math" w:eastAsia="仿宋" w:cs="仿宋"/>
            <w:sz w:val="32"/>
            <w:szCs w:val="32"/>
          </w:rPr>
          <m:t>-</m:t>
        </m:r>
        <m:acc>
          <m:accPr>
            <m:chr m:val="̅"/>
            <m:ctrlPr>
              <w:rPr>
                <w:rFonts w:hint="eastAsia" w:ascii="Cambria Math" w:hAnsi="Cambria Math" w:eastAsia="仿宋" w:cs="仿宋"/>
                <w:sz w:val="32"/>
                <w:szCs w:val="32"/>
              </w:rPr>
            </m:ctrlPr>
          </m:accPr>
          <m:e>
            <m:r>
              <m:rPr>
                <m:sty m:val="p"/>
              </m:rPr>
              <w:rPr>
                <w:rFonts w:hint="eastAsia" w:ascii="Cambria Math" w:hAnsi="Cambria Math" w:eastAsia="仿宋" w:cs="仿宋"/>
                <w:sz w:val="32"/>
                <w:szCs w:val="32"/>
              </w:rPr>
              <m:t>x</m:t>
            </m:r>
            <m:ctrlPr>
              <w:rPr>
                <w:rFonts w:hint="eastAsia" w:ascii="Cambria Math" w:hAnsi="Cambria Math" w:eastAsia="仿宋" w:cs="仿宋"/>
                <w:sz w:val="32"/>
                <w:szCs w:val="32"/>
              </w:rPr>
            </m:ctrlPr>
          </m:e>
        </m:acc>
      </m:oMath>
      <w:r>
        <w:rPr>
          <w:rFonts w:hint="eastAsia" w:ascii="仿宋" w:hAnsi="仿宋" w:eastAsia="仿宋" w:cs="仿宋"/>
          <w:sz w:val="32"/>
          <w:szCs w:val="32"/>
        </w:rPr>
        <w:t>，表示题目得分偏差；</w:t>
      </w:r>
      <m:oMath>
        <m:r>
          <m:rPr>
            <m:sty m:val="p"/>
          </m:rPr>
          <w:rPr>
            <w:rFonts w:hint="eastAsia" w:ascii="Cambria Math" w:hAnsi="Cambria Math" w:eastAsia="仿宋" w:cs="仿宋"/>
            <w:sz w:val="32"/>
            <w:szCs w:val="32"/>
          </w:rPr>
          <m:t>y=</m:t>
        </m:r>
        <m:sSub>
          <m:sSubPr>
            <m:ctrlPr>
              <w:rPr>
                <w:rFonts w:hint="eastAsia" w:ascii="Cambria Math" w:hAnsi="Cambria Math" w:eastAsia="仿宋" w:cs="仿宋"/>
                <w:sz w:val="32"/>
                <w:szCs w:val="32"/>
              </w:rPr>
            </m:ctrlPr>
          </m:sSubPr>
          <m:e>
            <m:r>
              <m:rPr>
                <m:sty m:val="p"/>
              </m:rPr>
              <w:rPr>
                <w:rFonts w:hint="eastAsia" w:ascii="Cambria Math" w:hAnsi="Cambria Math" w:eastAsia="仿宋" w:cs="仿宋"/>
                <w:sz w:val="32"/>
                <w:szCs w:val="32"/>
              </w:rPr>
              <m:t>y</m:t>
            </m:r>
            <m:ctrlPr>
              <w:rPr>
                <w:rFonts w:hint="eastAsia" w:ascii="Cambria Math" w:hAnsi="Cambria Math" w:eastAsia="仿宋" w:cs="仿宋"/>
                <w:sz w:val="32"/>
                <w:szCs w:val="32"/>
              </w:rPr>
            </m:ctrlPr>
          </m:e>
          <m:sub>
            <m:r>
              <m:rPr>
                <m:sty m:val="p"/>
              </m:rPr>
              <w:rPr>
                <w:rFonts w:hint="eastAsia" w:ascii="Cambria Math" w:hAnsi="Cambria Math" w:eastAsia="仿宋" w:cs="仿宋"/>
                <w:sz w:val="32"/>
                <w:szCs w:val="32"/>
              </w:rPr>
              <m:t>i</m:t>
            </m:r>
            <m:ctrlPr>
              <w:rPr>
                <w:rFonts w:hint="eastAsia" w:ascii="Cambria Math" w:hAnsi="Cambria Math" w:eastAsia="仿宋" w:cs="仿宋"/>
                <w:sz w:val="32"/>
                <w:szCs w:val="32"/>
              </w:rPr>
            </m:ctrlPr>
          </m:sub>
        </m:sSub>
        <m:r>
          <m:rPr>
            <m:sty m:val="p"/>
          </m:rPr>
          <w:rPr>
            <w:rFonts w:hint="eastAsia" w:ascii="Cambria Math" w:hAnsi="Cambria Math" w:eastAsia="仿宋" w:cs="仿宋"/>
            <w:sz w:val="32"/>
            <w:szCs w:val="32"/>
          </w:rPr>
          <m:t>-</m:t>
        </m:r>
        <m:acc>
          <m:accPr>
            <m:chr m:val="̅"/>
            <m:ctrlPr>
              <w:rPr>
                <w:rFonts w:hint="eastAsia" w:ascii="Cambria Math" w:hAnsi="Cambria Math" w:eastAsia="仿宋" w:cs="仿宋"/>
                <w:sz w:val="32"/>
                <w:szCs w:val="32"/>
              </w:rPr>
            </m:ctrlPr>
          </m:accPr>
          <m:e>
            <m:r>
              <m:rPr>
                <m:sty m:val="p"/>
              </m:rPr>
              <w:rPr>
                <w:rFonts w:hint="eastAsia" w:ascii="Cambria Math" w:hAnsi="Cambria Math" w:eastAsia="仿宋" w:cs="仿宋"/>
                <w:sz w:val="32"/>
                <w:szCs w:val="32"/>
              </w:rPr>
              <m:t>y</m:t>
            </m:r>
            <m:ctrlPr>
              <w:rPr>
                <w:rFonts w:hint="eastAsia" w:ascii="Cambria Math" w:hAnsi="Cambria Math" w:eastAsia="仿宋" w:cs="仿宋"/>
                <w:sz w:val="32"/>
                <w:szCs w:val="32"/>
              </w:rPr>
            </m:ctrlPr>
          </m:e>
        </m:acc>
      </m:oMath>
      <w:r>
        <w:rPr>
          <w:rFonts w:hint="eastAsia" w:ascii="仿宋" w:hAnsi="仿宋" w:eastAsia="仿宋" w:cs="仿宋"/>
          <w:sz w:val="32"/>
          <w:szCs w:val="32"/>
        </w:rPr>
        <w:t>，表示问卷得分偏差。</w:t>
      </w:r>
    </w:p>
    <w:p>
      <w:pPr>
        <w:ind w:firstLine="640" w:firstLineChars="200"/>
        <w:rPr>
          <w:rFonts w:ascii="仿宋_GB2312" w:hAnsi="仿宋_GB2312" w:eastAsia="仿宋_GB2312" w:cs="仿宋_GB2312"/>
          <w:sz w:val="32"/>
          <w:szCs w:val="32"/>
        </w:rPr>
      </w:pPr>
      <w:r>
        <w:rPr>
          <w:rFonts w:hint="eastAsia" w:ascii="仿宋" w:hAnsi="仿宋" w:eastAsia="仿宋" w:cs="仿宋"/>
          <w:sz w:val="32"/>
          <w:szCs w:val="32"/>
        </w:rPr>
        <w:t>通常情况下，</w:t>
      </w:r>
      <w:r>
        <w:rPr>
          <w:rFonts w:hint="eastAsia" w:ascii="Times New Roman" w:hAnsi="Times New Roman" w:eastAsia="仿宋" w:cs="仿宋"/>
          <w:sz w:val="32"/>
          <w:szCs w:val="32"/>
        </w:rPr>
        <w:t>r</w:t>
      </w:r>
      <w:r>
        <w:rPr>
          <w:rFonts w:hint="eastAsia" w:ascii="仿宋" w:hAnsi="仿宋" w:eastAsia="仿宋" w:cs="仿宋"/>
          <w:sz w:val="32"/>
          <w:szCs w:val="32"/>
        </w:rPr>
        <w:t>＞</w:t>
      </w:r>
      <w:r>
        <w:rPr>
          <w:rFonts w:hint="eastAsia" w:ascii="Times New Roman" w:hAnsi="Times New Roman" w:eastAsia="仿宋" w:cs="仿宋"/>
          <w:sz w:val="32"/>
          <w:szCs w:val="32"/>
        </w:rPr>
        <w:t>0</w:t>
      </w:r>
      <w:r>
        <w:rPr>
          <w:rFonts w:hint="eastAsia" w:ascii="仿宋" w:hAnsi="仿宋" w:eastAsia="仿宋" w:cs="仿宋"/>
          <w:sz w:val="32"/>
          <w:szCs w:val="32"/>
        </w:rPr>
        <w:t>表示两变量正相关；</w:t>
      </w:r>
      <w:r>
        <w:rPr>
          <w:rFonts w:hint="eastAsia" w:ascii="Times New Roman" w:hAnsi="Times New Roman" w:eastAsia="仿宋" w:cs="仿宋"/>
          <w:sz w:val="32"/>
          <w:szCs w:val="32"/>
        </w:rPr>
        <w:t>r</w:t>
      </w:r>
      <w:r>
        <w:rPr>
          <w:rFonts w:hint="eastAsia" w:ascii="仿宋" w:hAnsi="仿宋" w:eastAsia="仿宋" w:cs="仿宋"/>
          <w:sz w:val="32"/>
          <w:szCs w:val="32"/>
        </w:rPr>
        <w:t>＜</w:t>
      </w:r>
      <w:r>
        <w:rPr>
          <w:rFonts w:hint="eastAsia" w:ascii="Times New Roman" w:hAnsi="Times New Roman" w:eastAsia="仿宋" w:cs="仿宋"/>
          <w:sz w:val="32"/>
          <w:szCs w:val="32"/>
        </w:rPr>
        <w:t>0</w:t>
      </w:r>
      <w:r>
        <w:rPr>
          <w:rFonts w:hint="eastAsia" w:ascii="仿宋" w:hAnsi="仿宋" w:eastAsia="仿宋" w:cs="仿宋"/>
          <w:sz w:val="32"/>
          <w:szCs w:val="32"/>
        </w:rPr>
        <w:t>表示两变量负相关;</w:t>
      </w:r>
      <m:oMath>
        <m:d>
          <m:dPr>
            <m:begChr m:val="|"/>
            <m:endChr m:val="|"/>
            <m:ctrlPr>
              <w:rPr>
                <w:rFonts w:hint="eastAsia" w:ascii="Cambria Math" w:hAnsi="Cambria Math" w:eastAsia="仿宋" w:cs="仿宋"/>
                <w:sz w:val="32"/>
                <w:szCs w:val="32"/>
              </w:rPr>
            </m:ctrlPr>
          </m:dPr>
          <m:e>
            <m:r>
              <m:rPr>
                <m:sty m:val="p"/>
              </m:rPr>
              <w:rPr>
                <w:rFonts w:hint="eastAsia" w:ascii="Cambria Math" w:hAnsi="Cambria Math" w:eastAsia="仿宋" w:cs="仿宋"/>
                <w:sz w:val="32"/>
                <w:szCs w:val="32"/>
              </w:rPr>
              <m:t>r</m:t>
            </m:r>
            <m:ctrlPr>
              <w:rPr>
                <w:rFonts w:hint="eastAsia" w:ascii="Cambria Math" w:hAnsi="Cambria Math" w:eastAsia="仿宋" w:cs="仿宋"/>
                <w:sz w:val="32"/>
                <w:szCs w:val="32"/>
              </w:rPr>
            </m:ctrlPr>
          </m:e>
        </m:d>
      </m:oMath>
      <w:r>
        <w:rPr>
          <w:rFonts w:hint="eastAsia" w:ascii="仿宋" w:hAnsi="仿宋" w:eastAsia="仿宋" w:cs="仿宋"/>
          <w:sz w:val="32"/>
          <w:szCs w:val="32"/>
        </w:rPr>
        <w:t>=</w:t>
      </w:r>
      <w:r>
        <w:rPr>
          <w:rFonts w:hint="eastAsia" w:ascii="Times New Roman" w:hAnsi="Times New Roman" w:eastAsia="仿宋" w:cs="仿宋"/>
          <w:sz w:val="32"/>
          <w:szCs w:val="32"/>
        </w:rPr>
        <w:t>0</w:t>
      </w:r>
      <w:r>
        <w:rPr>
          <w:rFonts w:hint="eastAsia" w:ascii="仿宋" w:hAnsi="仿宋" w:eastAsia="仿宋" w:cs="仿宋"/>
          <w:sz w:val="32"/>
          <w:szCs w:val="32"/>
        </w:rPr>
        <w:t>表示两变量之间不存在相关关系；</w:t>
      </w:r>
      <m:oMath>
        <m:d>
          <m:dPr>
            <m:begChr m:val="|"/>
            <m:endChr m:val="|"/>
            <m:ctrlPr>
              <w:rPr>
                <w:rFonts w:hint="eastAsia" w:ascii="Cambria Math" w:hAnsi="Cambria Math" w:eastAsia="仿宋" w:cs="仿宋"/>
                <w:sz w:val="32"/>
                <w:szCs w:val="32"/>
              </w:rPr>
            </m:ctrlPr>
          </m:dPr>
          <m:e>
            <m:r>
              <m:rPr>
                <m:sty m:val="p"/>
              </m:rPr>
              <w:rPr>
                <w:rFonts w:hint="eastAsia" w:ascii="Cambria Math" w:hAnsi="Cambria Math" w:eastAsia="仿宋" w:cs="仿宋"/>
                <w:sz w:val="32"/>
                <w:szCs w:val="32"/>
              </w:rPr>
              <m:t>r</m:t>
            </m:r>
            <m:ctrlPr>
              <w:rPr>
                <w:rFonts w:hint="eastAsia" w:ascii="Cambria Math" w:hAnsi="Cambria Math" w:eastAsia="仿宋" w:cs="仿宋"/>
                <w:sz w:val="32"/>
                <w:szCs w:val="32"/>
              </w:rPr>
            </m:ctrlPr>
          </m:e>
        </m:d>
      </m:oMath>
      <w:r>
        <w:rPr>
          <w:rFonts w:hint="eastAsia" w:ascii="仿宋" w:hAnsi="仿宋" w:eastAsia="仿宋" w:cs="仿宋"/>
          <w:sz w:val="32"/>
          <w:szCs w:val="32"/>
        </w:rPr>
        <w:t>=</w:t>
      </w:r>
      <w:r>
        <w:rPr>
          <w:rFonts w:hint="eastAsia" w:ascii="Times New Roman" w:hAnsi="Times New Roman" w:eastAsia="仿宋" w:cs="仿宋"/>
          <w:sz w:val="32"/>
          <w:szCs w:val="32"/>
        </w:rPr>
        <w:t>1</w:t>
      </w:r>
      <w:r>
        <w:rPr>
          <w:rFonts w:hint="eastAsia" w:ascii="仿宋" w:hAnsi="仿宋" w:eastAsia="仿宋" w:cs="仿宋"/>
          <w:sz w:val="32"/>
          <w:szCs w:val="32"/>
        </w:rPr>
        <w:t>表示两变量完全线性相关；</w:t>
      </w:r>
      <w:r>
        <w:rPr>
          <w:rFonts w:hint="eastAsia" w:ascii="Times New Roman" w:hAnsi="Times New Roman" w:eastAsia="仿宋" w:cs="仿宋"/>
          <w:sz w:val="32"/>
          <w:szCs w:val="32"/>
        </w:rPr>
        <w:t>0</w:t>
      </w:r>
      <w:r>
        <w:rPr>
          <w:rFonts w:hint="eastAsia" w:ascii="仿宋" w:hAnsi="仿宋" w:eastAsia="仿宋" w:cs="仿宋"/>
          <w:sz w:val="32"/>
          <w:szCs w:val="32"/>
        </w:rPr>
        <w:t>＜</w:t>
      </w:r>
      <m:oMath>
        <m:d>
          <m:dPr>
            <m:begChr m:val="|"/>
            <m:endChr m:val="|"/>
            <m:ctrlPr>
              <w:rPr>
                <w:rFonts w:hint="eastAsia" w:ascii="Cambria Math" w:hAnsi="Cambria Math" w:eastAsia="仿宋" w:cs="仿宋"/>
                <w:sz w:val="32"/>
                <w:szCs w:val="32"/>
              </w:rPr>
            </m:ctrlPr>
          </m:dPr>
          <m:e>
            <m:r>
              <m:rPr>
                <m:sty m:val="p"/>
              </m:rPr>
              <w:rPr>
                <w:rFonts w:hint="eastAsia" w:ascii="Cambria Math" w:hAnsi="Cambria Math" w:eastAsia="仿宋" w:cs="仿宋"/>
                <w:sz w:val="32"/>
                <w:szCs w:val="32"/>
              </w:rPr>
              <m:t>r</m:t>
            </m:r>
            <m:ctrlPr>
              <w:rPr>
                <w:rFonts w:hint="eastAsia" w:ascii="Cambria Math" w:hAnsi="Cambria Math" w:eastAsia="仿宋" w:cs="仿宋"/>
                <w:sz w:val="32"/>
                <w:szCs w:val="32"/>
              </w:rPr>
            </m:ctrlPr>
          </m:e>
        </m:d>
      </m:oMath>
      <w:r>
        <w:rPr>
          <w:rFonts w:hint="eastAsia" w:ascii="仿宋" w:hAnsi="仿宋" w:eastAsia="仿宋" w:cs="仿宋"/>
          <w:sz w:val="32"/>
          <w:szCs w:val="32"/>
        </w:rPr>
        <w:t>＜</w:t>
      </w:r>
      <w:r>
        <w:rPr>
          <w:rFonts w:hint="eastAsia" w:ascii="Times New Roman" w:hAnsi="Times New Roman" w:eastAsia="仿宋" w:cs="仿宋"/>
          <w:sz w:val="32"/>
          <w:szCs w:val="32"/>
        </w:rPr>
        <w:t>1</w:t>
      </w:r>
      <w:r>
        <w:rPr>
          <w:rFonts w:hint="eastAsia" w:ascii="仿宋" w:hAnsi="仿宋" w:eastAsia="仿宋" w:cs="仿宋"/>
          <w:sz w:val="32"/>
          <w:szCs w:val="32"/>
        </w:rPr>
        <w:t>表示两变量存在一定程度的线性相关，其中</w:t>
      </w:r>
      <w:r>
        <w:rPr>
          <w:rFonts w:hint="eastAsia" w:ascii="Times New Roman" w:hAnsi="Times New Roman" w:eastAsia="仿宋" w:cs="仿宋"/>
          <w:sz w:val="32"/>
          <w:szCs w:val="32"/>
        </w:rPr>
        <w:t>0</w:t>
      </w:r>
      <w:r>
        <w:rPr>
          <w:rFonts w:hint="eastAsia" w:ascii="仿宋" w:hAnsi="仿宋" w:eastAsia="仿宋" w:cs="仿宋"/>
          <w:sz w:val="32"/>
          <w:szCs w:val="32"/>
        </w:rPr>
        <w:t>＜</w:t>
      </w:r>
      <m:oMath>
        <m:d>
          <m:dPr>
            <m:begChr m:val="|"/>
            <m:endChr m:val="|"/>
            <m:ctrlPr>
              <w:rPr>
                <w:rFonts w:hint="eastAsia" w:ascii="Cambria Math" w:hAnsi="Cambria Math" w:eastAsia="仿宋" w:cs="仿宋"/>
                <w:sz w:val="32"/>
                <w:szCs w:val="32"/>
              </w:rPr>
            </m:ctrlPr>
          </m:dPr>
          <m:e>
            <m:r>
              <m:rPr>
                <m:sty m:val="p"/>
              </m:rPr>
              <w:rPr>
                <w:rFonts w:hint="eastAsia" w:ascii="Cambria Math" w:hAnsi="Cambria Math" w:eastAsia="仿宋" w:cs="仿宋"/>
                <w:sz w:val="32"/>
                <w:szCs w:val="32"/>
              </w:rPr>
              <m:t>r</m:t>
            </m:r>
            <m:ctrlPr>
              <w:rPr>
                <w:rFonts w:hint="eastAsia" w:ascii="Cambria Math" w:hAnsi="Cambria Math" w:eastAsia="仿宋" w:cs="仿宋"/>
                <w:sz w:val="32"/>
                <w:szCs w:val="32"/>
              </w:rPr>
            </m:ctrlPr>
          </m:e>
        </m:d>
      </m:oMath>
      <w:r>
        <w:rPr>
          <w:rFonts w:hint="eastAsia" w:ascii="仿宋" w:hAnsi="仿宋" w:eastAsia="仿宋" w:cs="仿宋"/>
          <w:sz w:val="32"/>
          <w:szCs w:val="32"/>
        </w:rPr>
        <w:t>≤</w:t>
      </w:r>
      <w:r>
        <w:rPr>
          <w:rFonts w:hint="eastAsia" w:ascii="Times New Roman" w:hAnsi="Times New Roman" w:eastAsia="仿宋" w:cs="仿宋"/>
          <w:sz w:val="32"/>
          <w:szCs w:val="32"/>
        </w:rPr>
        <w:t>0</w:t>
      </w:r>
      <w:r>
        <w:rPr>
          <w:rFonts w:hint="eastAsia" w:ascii="仿宋" w:hAnsi="仿宋" w:eastAsia="仿宋" w:cs="仿宋"/>
          <w:sz w:val="32"/>
          <w:szCs w:val="32"/>
        </w:rPr>
        <w:t>.</w:t>
      </w:r>
      <w:r>
        <w:rPr>
          <w:rFonts w:hint="eastAsia" w:ascii="Times New Roman" w:hAnsi="Times New Roman" w:eastAsia="仿宋" w:cs="仿宋"/>
          <w:sz w:val="32"/>
          <w:szCs w:val="32"/>
        </w:rPr>
        <w:t>3</w:t>
      </w:r>
      <w:r>
        <w:rPr>
          <w:rFonts w:hint="eastAsia" w:ascii="仿宋" w:hAnsi="仿宋" w:eastAsia="仿宋" w:cs="仿宋"/>
          <w:sz w:val="32"/>
          <w:szCs w:val="32"/>
        </w:rPr>
        <w:t>为微弱相关，</w:t>
      </w:r>
      <w:r>
        <w:rPr>
          <w:rFonts w:hint="eastAsia" w:ascii="Times New Roman" w:hAnsi="Times New Roman" w:eastAsia="仿宋" w:cs="仿宋"/>
          <w:sz w:val="32"/>
          <w:szCs w:val="32"/>
        </w:rPr>
        <w:t>0</w:t>
      </w:r>
      <w:r>
        <w:rPr>
          <w:rFonts w:hint="eastAsia" w:ascii="仿宋" w:hAnsi="仿宋" w:eastAsia="仿宋" w:cs="仿宋"/>
          <w:sz w:val="32"/>
          <w:szCs w:val="32"/>
        </w:rPr>
        <w:t>.</w:t>
      </w:r>
      <w:r>
        <w:rPr>
          <w:rFonts w:hint="eastAsia" w:ascii="Times New Roman" w:hAnsi="Times New Roman" w:eastAsia="仿宋" w:cs="仿宋"/>
          <w:sz w:val="32"/>
          <w:szCs w:val="32"/>
        </w:rPr>
        <w:t>3</w:t>
      </w:r>
      <w:r>
        <w:rPr>
          <w:rFonts w:hint="eastAsia" w:ascii="仿宋" w:hAnsi="仿宋" w:eastAsia="仿宋" w:cs="仿宋"/>
          <w:sz w:val="32"/>
          <w:szCs w:val="32"/>
        </w:rPr>
        <w:t>＜</w:t>
      </w:r>
      <m:oMath>
        <m:d>
          <m:dPr>
            <m:begChr m:val="|"/>
            <m:endChr m:val="|"/>
            <m:ctrlPr>
              <w:rPr>
                <w:rFonts w:hint="eastAsia" w:ascii="Cambria Math" w:hAnsi="Cambria Math" w:eastAsia="仿宋" w:cs="仿宋"/>
                <w:sz w:val="32"/>
                <w:szCs w:val="32"/>
              </w:rPr>
            </m:ctrlPr>
          </m:dPr>
          <m:e>
            <m:r>
              <m:rPr>
                <m:sty m:val="p"/>
              </m:rPr>
              <w:rPr>
                <w:rFonts w:hint="eastAsia" w:ascii="Cambria Math" w:hAnsi="Cambria Math" w:eastAsia="仿宋" w:cs="仿宋"/>
                <w:sz w:val="32"/>
                <w:szCs w:val="32"/>
              </w:rPr>
              <m:t>r</m:t>
            </m:r>
            <m:ctrlPr>
              <w:rPr>
                <w:rFonts w:hint="eastAsia" w:ascii="Cambria Math" w:hAnsi="Cambria Math" w:eastAsia="仿宋" w:cs="仿宋"/>
                <w:sz w:val="32"/>
                <w:szCs w:val="32"/>
              </w:rPr>
            </m:ctrlPr>
          </m:e>
        </m:d>
      </m:oMath>
      <w:r>
        <w:rPr>
          <w:rFonts w:hint="eastAsia" w:ascii="仿宋" w:hAnsi="仿宋" w:eastAsia="仿宋" w:cs="仿宋"/>
          <w:sz w:val="32"/>
          <w:szCs w:val="32"/>
        </w:rPr>
        <w:t>≤</w:t>
      </w:r>
      <w:r>
        <w:rPr>
          <w:rFonts w:hint="eastAsia" w:ascii="Times New Roman" w:hAnsi="Times New Roman" w:eastAsia="仿宋" w:cs="仿宋"/>
          <w:sz w:val="32"/>
          <w:szCs w:val="32"/>
        </w:rPr>
        <w:t>0</w:t>
      </w:r>
      <w:r>
        <w:rPr>
          <w:rFonts w:hint="eastAsia" w:ascii="仿宋" w:hAnsi="仿宋" w:eastAsia="仿宋" w:cs="仿宋"/>
          <w:sz w:val="32"/>
          <w:szCs w:val="32"/>
        </w:rPr>
        <w:t>.</w:t>
      </w:r>
      <w:r>
        <w:rPr>
          <w:rFonts w:hint="eastAsia" w:ascii="Times New Roman" w:hAnsi="Times New Roman" w:eastAsia="仿宋" w:cs="仿宋"/>
          <w:sz w:val="32"/>
          <w:szCs w:val="32"/>
        </w:rPr>
        <w:t>5</w:t>
      </w:r>
      <w:r>
        <w:rPr>
          <w:rFonts w:hint="eastAsia" w:ascii="仿宋" w:hAnsi="仿宋" w:eastAsia="仿宋" w:cs="仿宋"/>
          <w:sz w:val="32"/>
          <w:szCs w:val="32"/>
        </w:rPr>
        <w:t>为低度相关，</w:t>
      </w:r>
      <w:r>
        <w:rPr>
          <w:rFonts w:hint="eastAsia" w:ascii="Times New Roman" w:hAnsi="Times New Roman" w:eastAsia="仿宋" w:cs="仿宋"/>
          <w:sz w:val="32"/>
          <w:szCs w:val="32"/>
        </w:rPr>
        <w:t>0</w:t>
      </w:r>
      <w:r>
        <w:rPr>
          <w:rFonts w:hint="eastAsia" w:ascii="仿宋" w:hAnsi="仿宋" w:eastAsia="仿宋" w:cs="仿宋"/>
          <w:sz w:val="32"/>
          <w:szCs w:val="32"/>
        </w:rPr>
        <w:t>.</w:t>
      </w:r>
      <w:r>
        <w:rPr>
          <w:rFonts w:hint="eastAsia" w:ascii="Times New Roman" w:hAnsi="Times New Roman" w:eastAsia="仿宋" w:cs="仿宋"/>
          <w:sz w:val="32"/>
          <w:szCs w:val="32"/>
        </w:rPr>
        <w:t>5</w:t>
      </w:r>
      <w:r>
        <w:rPr>
          <w:rFonts w:hint="eastAsia" w:ascii="仿宋" w:hAnsi="仿宋" w:eastAsia="仿宋" w:cs="仿宋"/>
          <w:sz w:val="32"/>
          <w:szCs w:val="32"/>
        </w:rPr>
        <w:t>＜</w:t>
      </w:r>
      <m:oMath>
        <m:d>
          <m:dPr>
            <m:begChr m:val="|"/>
            <m:endChr m:val="|"/>
            <m:ctrlPr>
              <w:rPr>
                <w:rFonts w:hint="eastAsia" w:ascii="Cambria Math" w:hAnsi="Cambria Math" w:eastAsia="仿宋" w:cs="仿宋"/>
                <w:sz w:val="32"/>
                <w:szCs w:val="32"/>
              </w:rPr>
            </m:ctrlPr>
          </m:dPr>
          <m:e>
            <m:r>
              <m:rPr>
                <m:sty m:val="p"/>
              </m:rPr>
              <w:rPr>
                <w:rFonts w:hint="eastAsia" w:ascii="Cambria Math" w:hAnsi="Cambria Math" w:eastAsia="仿宋" w:cs="仿宋"/>
                <w:sz w:val="32"/>
                <w:szCs w:val="32"/>
              </w:rPr>
              <m:t>r</m:t>
            </m:r>
            <m:ctrlPr>
              <w:rPr>
                <w:rFonts w:hint="eastAsia" w:ascii="Cambria Math" w:hAnsi="Cambria Math" w:eastAsia="仿宋" w:cs="仿宋"/>
                <w:sz w:val="32"/>
                <w:szCs w:val="32"/>
              </w:rPr>
            </m:ctrlPr>
          </m:e>
        </m:d>
      </m:oMath>
      <w:r>
        <w:rPr>
          <w:rFonts w:hint="eastAsia" w:ascii="仿宋" w:hAnsi="仿宋" w:eastAsia="仿宋" w:cs="仿宋"/>
          <w:sz w:val="32"/>
          <w:szCs w:val="32"/>
        </w:rPr>
        <w:t>≤</w:t>
      </w:r>
      <w:r>
        <w:rPr>
          <w:rFonts w:hint="eastAsia" w:ascii="Times New Roman" w:hAnsi="Times New Roman" w:eastAsia="仿宋" w:cs="仿宋"/>
          <w:sz w:val="32"/>
          <w:szCs w:val="32"/>
        </w:rPr>
        <w:t>0</w:t>
      </w:r>
      <w:r>
        <w:rPr>
          <w:rFonts w:hint="eastAsia" w:ascii="仿宋" w:hAnsi="仿宋" w:eastAsia="仿宋" w:cs="仿宋"/>
          <w:sz w:val="32"/>
          <w:szCs w:val="32"/>
        </w:rPr>
        <w:t>.</w:t>
      </w:r>
      <w:r>
        <w:rPr>
          <w:rFonts w:hint="eastAsia" w:ascii="Times New Roman" w:hAnsi="Times New Roman" w:eastAsia="仿宋" w:cs="仿宋"/>
          <w:sz w:val="32"/>
          <w:szCs w:val="32"/>
        </w:rPr>
        <w:t>8</w:t>
      </w:r>
      <w:r>
        <w:rPr>
          <w:rFonts w:hint="eastAsia" w:ascii="仿宋" w:hAnsi="仿宋" w:eastAsia="仿宋" w:cs="仿宋"/>
          <w:sz w:val="32"/>
          <w:szCs w:val="32"/>
        </w:rPr>
        <w:t>为显著相关，</w:t>
      </w:r>
      <w:r>
        <w:rPr>
          <w:rFonts w:hint="eastAsia" w:ascii="Times New Roman" w:hAnsi="Times New Roman" w:eastAsia="仿宋" w:cs="仿宋"/>
          <w:sz w:val="32"/>
          <w:szCs w:val="32"/>
        </w:rPr>
        <w:t>0</w:t>
      </w:r>
      <w:r>
        <w:rPr>
          <w:rFonts w:hint="eastAsia" w:ascii="仿宋" w:hAnsi="仿宋" w:eastAsia="仿宋" w:cs="仿宋"/>
          <w:sz w:val="32"/>
          <w:szCs w:val="32"/>
        </w:rPr>
        <w:t>.</w:t>
      </w:r>
      <w:r>
        <w:rPr>
          <w:rFonts w:hint="eastAsia" w:ascii="Times New Roman" w:hAnsi="Times New Roman" w:eastAsia="仿宋" w:cs="仿宋"/>
          <w:sz w:val="32"/>
          <w:szCs w:val="32"/>
        </w:rPr>
        <w:t>8</w:t>
      </w:r>
      <w:r>
        <w:rPr>
          <w:rFonts w:hint="eastAsia" w:ascii="仿宋" w:hAnsi="仿宋" w:eastAsia="仿宋" w:cs="仿宋"/>
          <w:sz w:val="32"/>
          <w:szCs w:val="32"/>
        </w:rPr>
        <w:t>＜</w:t>
      </w:r>
      <m:oMath>
        <m:d>
          <m:dPr>
            <m:begChr m:val="|"/>
            <m:endChr m:val="|"/>
            <m:ctrlPr>
              <w:rPr>
                <w:rFonts w:hint="eastAsia" w:ascii="Cambria Math" w:hAnsi="Cambria Math" w:eastAsia="仿宋" w:cs="仿宋"/>
                <w:sz w:val="32"/>
                <w:szCs w:val="32"/>
              </w:rPr>
            </m:ctrlPr>
          </m:dPr>
          <m:e>
            <m:r>
              <m:rPr>
                <m:sty m:val="p"/>
              </m:rPr>
              <w:rPr>
                <w:rFonts w:hint="eastAsia" w:ascii="Cambria Math" w:hAnsi="Cambria Math" w:eastAsia="仿宋" w:cs="仿宋"/>
                <w:sz w:val="32"/>
                <w:szCs w:val="32"/>
              </w:rPr>
              <m:t>r</m:t>
            </m:r>
            <m:ctrlPr>
              <w:rPr>
                <w:rFonts w:hint="eastAsia" w:ascii="Cambria Math" w:hAnsi="Cambria Math" w:eastAsia="仿宋" w:cs="仿宋"/>
                <w:sz w:val="32"/>
                <w:szCs w:val="32"/>
              </w:rPr>
            </m:ctrlPr>
          </m:e>
        </m:d>
      </m:oMath>
      <w:r>
        <w:rPr>
          <w:rFonts w:hint="eastAsia" w:ascii="仿宋" w:hAnsi="仿宋" w:eastAsia="仿宋" w:cs="仿宋"/>
          <w:sz w:val="32"/>
          <w:szCs w:val="32"/>
        </w:rPr>
        <w:t>＜</w:t>
      </w:r>
      <w:r>
        <w:rPr>
          <w:rFonts w:hint="eastAsia" w:ascii="Times New Roman" w:hAnsi="Times New Roman" w:eastAsia="仿宋" w:cs="仿宋"/>
          <w:sz w:val="32"/>
          <w:szCs w:val="32"/>
        </w:rPr>
        <w:t>1</w:t>
      </w:r>
      <w:r>
        <w:rPr>
          <w:rFonts w:hint="eastAsia" w:ascii="仿宋" w:hAnsi="仿宋" w:eastAsia="仿宋" w:cs="仿宋"/>
          <w:sz w:val="32"/>
          <w:szCs w:val="32"/>
        </w:rPr>
        <w:t>为高度相关。</w:t>
      </w:r>
      <w:r>
        <w:rPr>
          <w:rFonts w:hint="eastAsia" w:ascii="仿宋_GB2312" w:hAnsi="仿宋_GB2312" w:eastAsia="仿宋_GB2312" w:cs="仿宋_GB2312"/>
          <w:sz w:val="32"/>
          <w:szCs w:val="32"/>
        </w:rPr>
        <w:t>调查数据计算结果表明，所有满意度问题的效度均在</w:t>
      </w:r>
      <w:r>
        <w:rPr>
          <w:rFonts w:hint="eastAsia" w:ascii="Times New Roman" w:hAnsi="Times New Roman" w:eastAsia="仿宋_GB2312" w:cs="仿宋_GB2312"/>
          <w:sz w:val="32"/>
          <w:szCs w:val="32"/>
        </w:rPr>
        <w:t>0</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8</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0</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9</w:t>
      </w:r>
      <w:r>
        <w:rPr>
          <w:rFonts w:hint="eastAsia" w:ascii="仿宋_GB2312" w:hAnsi="仿宋_GB2312" w:eastAsia="仿宋_GB2312" w:cs="仿宋_GB2312"/>
          <w:sz w:val="32"/>
          <w:szCs w:val="32"/>
        </w:rPr>
        <w:t>之间，说明此次问卷效度较高。</w:t>
      </w:r>
    </w:p>
    <w:p>
      <w:pPr>
        <w:ind w:firstLine="640" w:firstLineChars="200"/>
        <w:rPr>
          <w:rFonts w:ascii="黑体" w:hAnsi="黑体" w:eastAsia="黑体"/>
          <w:bCs/>
          <w:sz w:val="32"/>
          <w:szCs w:val="32"/>
        </w:rPr>
      </w:pPr>
      <w:r>
        <w:rPr>
          <w:rFonts w:hint="eastAsia" w:ascii="黑体" w:hAnsi="黑体" w:eastAsia="黑体"/>
          <w:bCs/>
          <w:sz w:val="32"/>
          <w:szCs w:val="32"/>
        </w:rPr>
        <w:t>四、调查问卷分析</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kern w:val="2"/>
          <w:sz w:val="32"/>
          <w:szCs w:val="32"/>
        </w:rPr>
        <w:t>通过对有效调查问卷的统计分析，调查对象对</w:t>
      </w:r>
      <w:r>
        <w:rPr>
          <w:rFonts w:hint="eastAsia" w:ascii="Times New Roman" w:hAnsi="Times New Roman" w:eastAsia="仿宋_GB2312" w:cs="仿宋_GB2312"/>
          <w:sz w:val="32"/>
          <w:szCs w:val="32"/>
        </w:rPr>
        <w:t>2019年平陆县圣人涧镇营村村一组至二组道路建设工程项目</w:t>
      </w:r>
      <w:r>
        <w:rPr>
          <w:rFonts w:hint="eastAsia" w:ascii="仿宋_GB2312" w:hAnsi="仿宋_GB2312" w:eastAsia="仿宋_GB2312" w:cs="仿宋_GB2312"/>
          <w:bCs/>
          <w:kern w:val="2"/>
          <w:sz w:val="32"/>
          <w:szCs w:val="32"/>
        </w:rPr>
        <w:t>的满意度较高，具体满意度问题的调查结果见下表</w:t>
      </w:r>
      <w:r>
        <w:rPr>
          <w:rFonts w:hint="eastAsia" w:ascii="Times New Roman" w:hAnsi="Times New Roman" w:eastAsia="仿宋_GB2312" w:cs="仿宋_GB2312"/>
          <w:bCs/>
          <w:kern w:val="2"/>
          <w:sz w:val="32"/>
          <w:szCs w:val="32"/>
        </w:rPr>
        <w:t>1-1</w:t>
      </w:r>
      <w:r>
        <w:rPr>
          <w:rFonts w:hint="eastAsia" w:ascii="仿宋_GB2312" w:hAnsi="仿宋_GB2312" w:eastAsia="仿宋_GB2312" w:cs="仿宋_GB2312"/>
          <w:bCs/>
          <w:kern w:val="2"/>
          <w:sz w:val="32"/>
          <w:szCs w:val="32"/>
        </w:rPr>
        <w:t>：</w:t>
      </w:r>
    </w:p>
    <w:p>
      <w:pPr>
        <w:widowControl w:val="0"/>
        <w:spacing w:line="400" w:lineRule="exact"/>
        <w:jc w:val="center"/>
        <w:rPr>
          <w:b/>
          <w:sz w:val="28"/>
          <w:szCs w:val="36"/>
        </w:rPr>
      </w:pPr>
      <w:r>
        <w:rPr>
          <w:rFonts w:hint="eastAsia"/>
          <w:b/>
          <w:sz w:val="28"/>
          <w:szCs w:val="36"/>
        </w:rPr>
        <w:t>表</w:t>
      </w:r>
      <w:r>
        <w:rPr>
          <w:rFonts w:hint="eastAsia" w:ascii="Times New Roman" w:hAnsi="Times New Roman"/>
          <w:b/>
          <w:sz w:val="28"/>
          <w:szCs w:val="36"/>
        </w:rPr>
        <w:t>1</w:t>
      </w:r>
      <w:r>
        <w:rPr>
          <w:b/>
          <w:sz w:val="28"/>
          <w:szCs w:val="36"/>
        </w:rPr>
        <w:t>-</w:t>
      </w:r>
      <w:r>
        <w:rPr>
          <w:rFonts w:ascii="Times New Roman" w:hAnsi="Times New Roman"/>
          <w:b/>
          <w:sz w:val="28"/>
          <w:szCs w:val="36"/>
        </w:rPr>
        <w:t>1</w:t>
      </w:r>
      <w:r>
        <w:rPr>
          <w:rFonts w:hint="eastAsia"/>
          <w:b/>
          <w:sz w:val="28"/>
          <w:szCs w:val="36"/>
        </w:rPr>
        <w:t xml:space="preserve"> 受益</w:t>
      </w:r>
      <w:r>
        <w:rPr>
          <w:rFonts w:hint="eastAsia"/>
          <w:b/>
          <w:sz w:val="28"/>
          <w:szCs w:val="36"/>
          <w:lang w:val="en-US" w:eastAsia="zh-CN"/>
        </w:rPr>
        <w:t>贫困人口</w:t>
      </w:r>
      <w:r>
        <w:rPr>
          <w:rFonts w:hint="eastAsia"/>
          <w:b/>
          <w:sz w:val="28"/>
          <w:szCs w:val="36"/>
        </w:rPr>
        <w:t>满意度调查结果统计表</w:t>
      </w:r>
    </w:p>
    <w:p>
      <w:pPr>
        <w:widowControl w:val="0"/>
        <w:spacing w:line="400" w:lineRule="exact"/>
        <w:jc w:val="right"/>
        <w:rPr>
          <w:b/>
          <w:szCs w:val="36"/>
        </w:rPr>
      </w:pPr>
      <w:r>
        <w:rPr>
          <w:rFonts w:hint="eastAsia"/>
          <w:b/>
          <w:szCs w:val="36"/>
        </w:rPr>
        <w:t>单位：%</w:t>
      </w:r>
    </w:p>
    <w:tbl>
      <w:tblPr>
        <w:tblStyle w:val="18"/>
        <w:tblW w:w="8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2832"/>
        <w:gridCol w:w="1275"/>
        <w:gridCol w:w="945"/>
        <w:gridCol w:w="945"/>
        <w:gridCol w:w="1058"/>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blHeader/>
          <w:jc w:val="center"/>
        </w:trPr>
        <w:tc>
          <w:tcPr>
            <w:tcW w:w="837"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val="0"/>
              <w:spacing w:line="240" w:lineRule="auto"/>
              <w:jc w:val="center"/>
              <w:rPr>
                <w:rFonts w:cs="仿宋_GB2312"/>
                <w:b/>
                <w:bCs/>
                <w:sz w:val="22"/>
                <w:szCs w:val="20"/>
              </w:rPr>
            </w:pPr>
            <w:r>
              <w:rPr>
                <w:rFonts w:hint="eastAsia" w:cs="仿宋_GB2312"/>
                <w:b/>
                <w:bCs/>
                <w:sz w:val="22"/>
                <w:szCs w:val="20"/>
              </w:rPr>
              <w:t>序号</w:t>
            </w:r>
          </w:p>
        </w:tc>
        <w:tc>
          <w:tcPr>
            <w:tcW w:w="2832"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val="0"/>
              <w:spacing w:line="240" w:lineRule="auto"/>
              <w:ind w:firstLine="482"/>
              <w:jc w:val="center"/>
              <w:rPr>
                <w:rFonts w:cs="仿宋_GB2312"/>
                <w:b/>
                <w:bCs/>
                <w:sz w:val="22"/>
                <w:szCs w:val="20"/>
              </w:rPr>
            </w:pPr>
            <w:r>
              <w:rPr>
                <w:rFonts w:hint="eastAsia" w:cs="仿宋_GB2312"/>
                <w:b/>
                <w:bCs/>
                <w:sz w:val="22"/>
                <w:szCs w:val="20"/>
              </w:rPr>
              <w:t>满意度问题</w:t>
            </w:r>
          </w:p>
        </w:tc>
        <w:tc>
          <w:tcPr>
            <w:tcW w:w="1275"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val="0"/>
              <w:spacing w:line="240" w:lineRule="auto"/>
              <w:jc w:val="center"/>
              <w:rPr>
                <w:rFonts w:cs="仿宋_GB2312"/>
                <w:b/>
                <w:bCs/>
                <w:sz w:val="22"/>
                <w:szCs w:val="20"/>
              </w:rPr>
            </w:pPr>
            <w:r>
              <w:rPr>
                <w:rFonts w:hint="eastAsia" w:cs="仿宋_GB2312"/>
                <w:b/>
                <w:bCs/>
                <w:sz w:val="22"/>
                <w:szCs w:val="20"/>
              </w:rPr>
              <w:t>非常满意</w:t>
            </w:r>
          </w:p>
        </w:tc>
        <w:tc>
          <w:tcPr>
            <w:tcW w:w="945"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val="0"/>
              <w:spacing w:line="240" w:lineRule="auto"/>
              <w:jc w:val="center"/>
              <w:rPr>
                <w:rFonts w:cs="仿宋_GB2312"/>
                <w:b/>
                <w:bCs/>
                <w:sz w:val="22"/>
                <w:szCs w:val="20"/>
              </w:rPr>
            </w:pPr>
            <w:r>
              <w:rPr>
                <w:rFonts w:hint="eastAsia" w:cs="仿宋_GB2312"/>
                <w:b/>
                <w:bCs/>
                <w:sz w:val="22"/>
                <w:szCs w:val="20"/>
              </w:rPr>
              <w:t>满意</w:t>
            </w:r>
          </w:p>
        </w:tc>
        <w:tc>
          <w:tcPr>
            <w:tcW w:w="945"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val="0"/>
              <w:spacing w:line="240" w:lineRule="auto"/>
              <w:jc w:val="center"/>
              <w:rPr>
                <w:rFonts w:cs="仿宋_GB2312"/>
                <w:b/>
                <w:bCs/>
                <w:sz w:val="22"/>
                <w:szCs w:val="20"/>
              </w:rPr>
            </w:pPr>
            <w:r>
              <w:rPr>
                <w:rFonts w:hint="eastAsia" w:cs="仿宋_GB2312"/>
                <w:b/>
                <w:bCs/>
                <w:sz w:val="22"/>
                <w:szCs w:val="20"/>
              </w:rPr>
              <w:t>一般</w:t>
            </w:r>
          </w:p>
        </w:tc>
        <w:tc>
          <w:tcPr>
            <w:tcW w:w="1058"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line="240" w:lineRule="auto"/>
              <w:jc w:val="center"/>
              <w:rPr>
                <w:b/>
                <w:bCs/>
                <w:sz w:val="22"/>
                <w:szCs w:val="20"/>
              </w:rPr>
            </w:pPr>
            <w:r>
              <w:rPr>
                <w:rFonts w:hint="eastAsia"/>
                <w:b/>
                <w:bCs/>
                <w:sz w:val="22"/>
                <w:szCs w:val="20"/>
              </w:rPr>
              <w:t>不满意</w:t>
            </w:r>
          </w:p>
        </w:tc>
        <w:tc>
          <w:tcPr>
            <w:tcW w:w="1058"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val="0"/>
              <w:spacing w:line="240" w:lineRule="auto"/>
              <w:jc w:val="center"/>
              <w:rPr>
                <w:rFonts w:cs="仿宋_GB2312"/>
                <w:b/>
                <w:bCs/>
                <w:sz w:val="22"/>
                <w:szCs w:val="20"/>
              </w:rPr>
            </w:pPr>
            <w:r>
              <w:rPr>
                <w:rFonts w:hint="eastAsia" w:cs="仿宋_GB2312"/>
                <w:b/>
                <w:bCs/>
                <w:sz w:val="22"/>
                <w:szCs w:val="20"/>
              </w:rPr>
              <w:t>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仿宋_GB2312" w:hAnsi="仿宋" w:eastAsia="仿宋_GB2312" w:cs="仿宋_GB2312"/>
                <w:bCs/>
                <w:sz w:val="20"/>
                <w:szCs w:val="20"/>
              </w:rPr>
            </w:pPr>
            <w:r>
              <w:rPr>
                <w:rFonts w:hint="eastAsia" w:ascii="Times New Roman" w:hAnsi="Times New Roman" w:eastAsia="仿宋_GB2312" w:cs="仿宋_GB2312"/>
                <w:bCs/>
                <w:sz w:val="20"/>
                <w:szCs w:val="20"/>
              </w:rPr>
              <w:t>1</w:t>
            </w:r>
          </w:p>
        </w:tc>
        <w:tc>
          <w:tcPr>
            <w:tcW w:w="28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cs="仿宋_GB2312"/>
                <w:bCs/>
                <w:sz w:val="20"/>
                <w:szCs w:val="20"/>
              </w:rPr>
            </w:pPr>
            <w:r>
              <w:rPr>
                <w:rFonts w:hint="eastAsia" w:cs="仿宋_GB2312"/>
                <w:bCs/>
                <w:sz w:val="20"/>
                <w:szCs w:val="20"/>
              </w:rPr>
              <w:t>您对平陆县</w:t>
            </w:r>
            <w:r>
              <w:rPr>
                <w:rFonts w:hint="eastAsia" w:cs="仿宋_GB2312"/>
                <w:bCs/>
                <w:sz w:val="20"/>
                <w:szCs w:val="20"/>
                <w:lang w:val="en-US" w:eastAsia="zh-CN"/>
              </w:rPr>
              <w:t>圣人涧镇营村村一组至二组道路</w:t>
            </w:r>
            <w:r>
              <w:rPr>
                <w:rFonts w:hint="eastAsia" w:cs="仿宋_GB2312"/>
                <w:bCs/>
                <w:sz w:val="20"/>
                <w:szCs w:val="20"/>
              </w:rPr>
              <w:t>建设</w:t>
            </w:r>
            <w:r>
              <w:rPr>
                <w:rFonts w:hint="eastAsia" w:cs="仿宋_GB2312"/>
                <w:bCs/>
                <w:sz w:val="20"/>
                <w:szCs w:val="20"/>
                <w:lang w:val="en-US" w:eastAsia="zh-CN"/>
              </w:rPr>
              <w:t>工程</w:t>
            </w:r>
            <w:r>
              <w:rPr>
                <w:rFonts w:hint="eastAsia" w:cs="仿宋_GB2312"/>
                <w:bCs/>
                <w:sz w:val="20"/>
                <w:szCs w:val="20"/>
              </w:rPr>
              <w:t>项目</w:t>
            </w:r>
            <w:r>
              <w:rPr>
                <w:rFonts w:hint="eastAsia" w:cs="仿宋_GB2312"/>
                <w:bCs/>
                <w:sz w:val="20"/>
                <w:szCs w:val="20"/>
                <w:lang w:val="en-US" w:eastAsia="zh-CN"/>
              </w:rPr>
              <w:t>的总体效果</w:t>
            </w:r>
            <w:r>
              <w:rPr>
                <w:rFonts w:hint="eastAsia" w:cs="仿宋_GB2312"/>
                <w:bCs/>
                <w:sz w:val="20"/>
                <w:szCs w:val="20"/>
              </w:rPr>
              <w:t>是否满意?</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6</w:t>
            </w:r>
            <w:r>
              <w:rPr>
                <w:rFonts w:hint="eastAsia" w:ascii="Times New Roman" w:hAnsi="Times New Roman" w:eastAsia="仿宋_GB2312" w:cs="Times New Roman"/>
                <w:sz w:val="20"/>
                <w:szCs w:val="20"/>
                <w:lang w:val="en-US" w:eastAsia="zh-CN"/>
              </w:rPr>
              <w:t>8</w:t>
            </w:r>
            <w:r>
              <w:rPr>
                <w:rFonts w:ascii="Times New Roman" w:hAnsi="Times New Roman" w:eastAsia="仿宋_GB2312" w:cs="Times New Roman"/>
                <w:sz w:val="20"/>
                <w:szCs w:val="20"/>
              </w:rPr>
              <w:t>.73</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17.18</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w:t>
            </w:r>
            <w:r>
              <w:rPr>
                <w:rFonts w:hint="eastAsia" w:ascii="Times New Roman" w:hAnsi="Times New Roman" w:eastAsia="仿宋_GB2312" w:cs="Times New Roman"/>
                <w:sz w:val="20"/>
                <w:szCs w:val="20"/>
                <w:lang w:val="en-US" w:eastAsia="zh-CN"/>
              </w:rPr>
              <w:t>4</w:t>
            </w:r>
            <w:r>
              <w:rPr>
                <w:rFonts w:ascii="Times New Roman" w:hAnsi="Times New Roman" w:eastAsia="仿宋_GB2312" w:cs="Times New Roman"/>
                <w:sz w:val="20"/>
                <w:szCs w:val="20"/>
              </w:rPr>
              <w:t>.09</w:t>
            </w:r>
          </w:p>
        </w:tc>
        <w:tc>
          <w:tcPr>
            <w:tcW w:w="105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0.00</w:t>
            </w:r>
          </w:p>
        </w:tc>
        <w:tc>
          <w:tcPr>
            <w:tcW w:w="105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8</w:t>
            </w:r>
            <w:r>
              <w:rPr>
                <w:rFonts w:hint="eastAsia" w:ascii="Times New Roman" w:hAnsi="Times New Roman" w:eastAsia="仿宋_GB2312" w:cs="Times New Roman"/>
                <w:sz w:val="20"/>
                <w:szCs w:val="20"/>
                <w:lang w:val="en-US" w:eastAsia="zh-CN"/>
              </w:rPr>
              <w:t>5</w:t>
            </w:r>
            <w:r>
              <w:rPr>
                <w:rFonts w:ascii="Times New Roman" w:hAnsi="Times New Roman" w:eastAsia="仿宋_GB2312" w:cs="Times New Roman"/>
                <w:sz w:val="20"/>
                <w:szCs w:val="20"/>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仿宋_GB2312" w:hAnsi="仿宋" w:eastAsia="仿宋_GB2312" w:cs="仿宋_GB2312"/>
                <w:bCs/>
                <w:sz w:val="20"/>
                <w:szCs w:val="20"/>
              </w:rPr>
            </w:pPr>
            <w:r>
              <w:rPr>
                <w:rFonts w:hint="eastAsia" w:ascii="Times New Roman" w:hAnsi="Times New Roman" w:eastAsia="仿宋_GB2312" w:cs="仿宋_GB2312"/>
                <w:bCs/>
                <w:sz w:val="20"/>
                <w:szCs w:val="20"/>
              </w:rPr>
              <w:t>2</w:t>
            </w:r>
          </w:p>
        </w:tc>
        <w:tc>
          <w:tcPr>
            <w:tcW w:w="28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cs="仿宋_GB2312"/>
                <w:bCs/>
                <w:sz w:val="20"/>
                <w:szCs w:val="20"/>
              </w:rPr>
            </w:pPr>
            <w:r>
              <w:rPr>
                <w:rFonts w:hint="eastAsia" w:cs="仿宋_GB2312"/>
                <w:bCs/>
                <w:sz w:val="20"/>
                <w:szCs w:val="20"/>
              </w:rPr>
              <w:t>您对平陆县</w:t>
            </w:r>
            <w:r>
              <w:rPr>
                <w:rFonts w:hint="eastAsia" w:cs="仿宋_GB2312"/>
                <w:bCs/>
                <w:sz w:val="20"/>
                <w:szCs w:val="20"/>
                <w:lang w:val="en-US" w:eastAsia="zh-CN"/>
              </w:rPr>
              <w:t>圣人涧镇营村村一组至二组道路</w:t>
            </w:r>
            <w:r>
              <w:rPr>
                <w:rFonts w:hint="eastAsia" w:cs="仿宋_GB2312"/>
                <w:bCs/>
                <w:sz w:val="20"/>
                <w:szCs w:val="20"/>
              </w:rPr>
              <w:t>建设</w:t>
            </w:r>
            <w:r>
              <w:rPr>
                <w:rFonts w:hint="eastAsia" w:cs="仿宋_GB2312"/>
                <w:bCs/>
                <w:sz w:val="20"/>
                <w:szCs w:val="20"/>
                <w:lang w:val="en-US" w:eastAsia="zh-CN"/>
              </w:rPr>
              <w:t>工程</w:t>
            </w:r>
            <w:r>
              <w:rPr>
                <w:rFonts w:hint="eastAsia" w:cs="仿宋_GB2312"/>
                <w:bCs/>
                <w:sz w:val="20"/>
                <w:szCs w:val="20"/>
              </w:rPr>
              <w:t>项目</w:t>
            </w:r>
            <w:r>
              <w:rPr>
                <w:rFonts w:hint="eastAsia" w:cs="仿宋_GB2312"/>
                <w:bCs/>
                <w:sz w:val="20"/>
                <w:szCs w:val="20"/>
                <w:lang w:val="en-US" w:eastAsia="zh-CN"/>
              </w:rPr>
              <w:t>改善群众出行条件</w:t>
            </w:r>
            <w:r>
              <w:rPr>
                <w:rFonts w:hint="eastAsia" w:cs="仿宋_GB2312"/>
                <w:bCs/>
                <w:sz w:val="20"/>
                <w:szCs w:val="20"/>
              </w:rPr>
              <w:t>是否满意？</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5</w:t>
            </w:r>
            <w:r>
              <w:rPr>
                <w:rFonts w:hint="eastAsia" w:ascii="Times New Roman" w:hAnsi="Times New Roman" w:eastAsia="仿宋_GB2312" w:cs="Times New Roman"/>
                <w:sz w:val="20"/>
                <w:szCs w:val="20"/>
                <w:lang w:val="en-US" w:eastAsia="zh-CN"/>
              </w:rPr>
              <w:t>3</w:t>
            </w:r>
            <w:r>
              <w:rPr>
                <w:rFonts w:ascii="Times New Roman" w:hAnsi="Times New Roman" w:eastAsia="仿宋_GB2312" w:cs="Times New Roman"/>
                <w:sz w:val="20"/>
                <w:szCs w:val="20"/>
              </w:rPr>
              <w:t>.5</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31.8</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w:t>
            </w:r>
            <w:r>
              <w:rPr>
                <w:rFonts w:hint="eastAsia" w:ascii="Times New Roman" w:hAnsi="Times New Roman" w:eastAsia="仿宋_GB2312" w:cs="Times New Roman"/>
                <w:sz w:val="20"/>
                <w:szCs w:val="20"/>
                <w:lang w:val="en-US" w:eastAsia="zh-CN"/>
              </w:rPr>
              <w:t>4</w:t>
            </w:r>
            <w:r>
              <w:rPr>
                <w:rFonts w:ascii="Times New Roman" w:hAnsi="Times New Roman" w:eastAsia="仿宋_GB2312" w:cs="Times New Roman"/>
                <w:sz w:val="20"/>
                <w:szCs w:val="20"/>
              </w:rPr>
              <w:t>.7</w:t>
            </w:r>
          </w:p>
        </w:tc>
        <w:tc>
          <w:tcPr>
            <w:tcW w:w="105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 xml:space="preserve">0.00 </w:t>
            </w:r>
          </w:p>
        </w:tc>
        <w:tc>
          <w:tcPr>
            <w:tcW w:w="105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8</w:t>
            </w:r>
            <w:r>
              <w:rPr>
                <w:rFonts w:hint="eastAsia" w:ascii="Times New Roman" w:hAnsi="Times New Roman" w:eastAsia="仿宋_GB2312" w:cs="Times New Roman"/>
                <w:sz w:val="20"/>
                <w:szCs w:val="20"/>
                <w:lang w:val="en-US" w:eastAsia="zh-CN"/>
              </w:rPr>
              <w:t>5</w:t>
            </w:r>
            <w:r>
              <w:rPr>
                <w:rFonts w:ascii="Times New Roman" w:hAnsi="Times New Roman" w:eastAsia="仿宋_GB2312" w:cs="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仿宋_GB2312" w:hAnsi="仿宋" w:eastAsia="仿宋_GB2312" w:cs="仿宋_GB2312"/>
                <w:bCs/>
                <w:sz w:val="20"/>
                <w:szCs w:val="20"/>
              </w:rPr>
            </w:pPr>
            <w:r>
              <w:rPr>
                <w:rFonts w:hint="eastAsia" w:ascii="Times New Roman" w:hAnsi="Times New Roman" w:eastAsia="仿宋_GB2312" w:cs="仿宋_GB2312"/>
                <w:bCs/>
                <w:sz w:val="20"/>
                <w:szCs w:val="20"/>
              </w:rPr>
              <w:t>3</w:t>
            </w:r>
          </w:p>
        </w:tc>
        <w:tc>
          <w:tcPr>
            <w:tcW w:w="28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cs="仿宋_GB2312"/>
                <w:bCs/>
                <w:sz w:val="20"/>
                <w:szCs w:val="20"/>
              </w:rPr>
            </w:pPr>
            <w:r>
              <w:rPr>
                <w:rFonts w:hint="eastAsia" w:cs="仿宋_GB2312"/>
                <w:bCs/>
                <w:sz w:val="20"/>
                <w:szCs w:val="20"/>
              </w:rPr>
              <w:t>您对平陆县</w:t>
            </w:r>
            <w:r>
              <w:rPr>
                <w:rFonts w:hint="eastAsia" w:cs="仿宋_GB2312"/>
                <w:bCs/>
                <w:sz w:val="20"/>
                <w:szCs w:val="20"/>
                <w:lang w:val="en-US" w:eastAsia="zh-CN"/>
              </w:rPr>
              <w:t>圣人涧镇营村村一组至二组道路</w:t>
            </w:r>
            <w:r>
              <w:rPr>
                <w:rFonts w:hint="eastAsia" w:cs="仿宋_GB2312"/>
                <w:bCs/>
                <w:sz w:val="20"/>
                <w:szCs w:val="20"/>
              </w:rPr>
              <w:t>建设</w:t>
            </w:r>
            <w:r>
              <w:rPr>
                <w:rFonts w:hint="eastAsia" w:cs="仿宋_GB2312"/>
                <w:bCs/>
                <w:sz w:val="20"/>
                <w:szCs w:val="20"/>
                <w:lang w:val="en-US" w:eastAsia="zh-CN"/>
              </w:rPr>
              <w:t>工程</w:t>
            </w:r>
            <w:r>
              <w:rPr>
                <w:rFonts w:hint="eastAsia" w:cs="仿宋_GB2312"/>
                <w:bCs/>
                <w:sz w:val="20"/>
                <w:szCs w:val="20"/>
              </w:rPr>
              <w:t>项目</w:t>
            </w:r>
            <w:r>
              <w:rPr>
                <w:rFonts w:hint="eastAsia" w:cs="仿宋_GB2312"/>
                <w:bCs/>
                <w:sz w:val="20"/>
                <w:szCs w:val="20"/>
                <w:lang w:val="en-US" w:eastAsia="zh-CN"/>
              </w:rPr>
              <w:t>改善村民生产生活条件</w:t>
            </w:r>
            <w:r>
              <w:rPr>
                <w:rFonts w:hint="eastAsia" w:cs="仿宋_GB2312"/>
                <w:bCs/>
                <w:sz w:val="20"/>
                <w:szCs w:val="20"/>
              </w:rPr>
              <w:t>是否满意?</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 xml:space="preserve">10.53 </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7</w:t>
            </w:r>
            <w:r>
              <w:rPr>
                <w:rFonts w:hint="eastAsia" w:ascii="Times New Roman" w:hAnsi="Times New Roman" w:eastAsia="仿宋_GB2312" w:cs="Times New Roman"/>
                <w:sz w:val="20"/>
                <w:szCs w:val="20"/>
                <w:lang w:val="en-US" w:eastAsia="zh-CN"/>
              </w:rPr>
              <w:t>5</w:t>
            </w:r>
            <w:r>
              <w:rPr>
                <w:rFonts w:ascii="Times New Roman" w:hAnsi="Times New Roman" w:eastAsia="仿宋_GB2312" w:cs="Times New Roman"/>
                <w:sz w:val="20"/>
                <w:szCs w:val="20"/>
              </w:rPr>
              <w:t xml:space="preserve">.84 </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w:t>
            </w:r>
            <w:r>
              <w:rPr>
                <w:rFonts w:hint="eastAsia" w:ascii="Times New Roman" w:hAnsi="Times New Roman" w:eastAsia="仿宋_GB2312" w:cs="Times New Roman"/>
                <w:sz w:val="20"/>
                <w:szCs w:val="20"/>
                <w:lang w:val="en-US" w:eastAsia="zh-CN"/>
              </w:rPr>
              <w:t>3</w:t>
            </w:r>
            <w:r>
              <w:rPr>
                <w:rFonts w:ascii="Times New Roman" w:hAnsi="Times New Roman" w:eastAsia="仿宋_GB2312" w:cs="Times New Roman"/>
                <w:sz w:val="20"/>
                <w:szCs w:val="20"/>
              </w:rPr>
              <w:t xml:space="preserve">.63 </w:t>
            </w:r>
          </w:p>
        </w:tc>
        <w:tc>
          <w:tcPr>
            <w:tcW w:w="105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 xml:space="preserve">0.00 </w:t>
            </w:r>
          </w:p>
        </w:tc>
        <w:tc>
          <w:tcPr>
            <w:tcW w:w="105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8</w:t>
            </w:r>
            <w:r>
              <w:rPr>
                <w:rFonts w:hint="eastAsia" w:ascii="Times New Roman" w:hAnsi="Times New Roman" w:eastAsia="仿宋_GB2312" w:cs="Times New Roman"/>
                <w:sz w:val="20"/>
                <w:szCs w:val="20"/>
                <w:lang w:val="en-US" w:eastAsia="zh-CN"/>
              </w:rPr>
              <w:t>6</w:t>
            </w:r>
            <w:r>
              <w:rPr>
                <w:rFonts w:ascii="Times New Roman" w:hAnsi="Times New Roman" w:eastAsia="仿宋_GB2312" w:cs="Times New Roman"/>
                <w:sz w:val="20"/>
                <w:szCs w:val="20"/>
              </w:rPr>
              <w:t xml:space="preserve">.37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仿宋_GB2312" w:hAnsi="仿宋" w:eastAsia="仿宋_GB2312" w:cs="仿宋_GB2312"/>
                <w:bCs/>
                <w:sz w:val="20"/>
                <w:szCs w:val="20"/>
              </w:rPr>
            </w:pPr>
            <w:r>
              <w:rPr>
                <w:rFonts w:hint="eastAsia" w:ascii="Times New Roman" w:hAnsi="Times New Roman" w:eastAsia="仿宋_GB2312" w:cs="仿宋_GB2312"/>
                <w:bCs/>
                <w:sz w:val="20"/>
                <w:szCs w:val="20"/>
              </w:rPr>
              <w:t>4</w:t>
            </w:r>
          </w:p>
        </w:tc>
        <w:tc>
          <w:tcPr>
            <w:tcW w:w="28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cs="仿宋_GB2312"/>
                <w:bCs/>
                <w:sz w:val="20"/>
                <w:szCs w:val="20"/>
              </w:rPr>
            </w:pPr>
            <w:r>
              <w:rPr>
                <w:rFonts w:hint="eastAsia" w:cs="仿宋_GB2312"/>
                <w:bCs/>
                <w:sz w:val="20"/>
                <w:szCs w:val="20"/>
              </w:rPr>
              <w:t>您对平陆县</w:t>
            </w:r>
            <w:r>
              <w:rPr>
                <w:rFonts w:hint="eastAsia" w:cs="仿宋_GB2312"/>
                <w:bCs/>
                <w:sz w:val="20"/>
                <w:szCs w:val="20"/>
                <w:lang w:val="en-US" w:eastAsia="zh-CN"/>
              </w:rPr>
              <w:t>圣人涧镇营村村一组至二组道路</w:t>
            </w:r>
            <w:r>
              <w:rPr>
                <w:rFonts w:hint="eastAsia" w:cs="仿宋_GB2312"/>
                <w:bCs/>
                <w:sz w:val="20"/>
                <w:szCs w:val="20"/>
              </w:rPr>
              <w:t>建设</w:t>
            </w:r>
            <w:r>
              <w:rPr>
                <w:rFonts w:hint="eastAsia" w:cs="仿宋_GB2312"/>
                <w:bCs/>
                <w:sz w:val="20"/>
                <w:szCs w:val="20"/>
                <w:lang w:val="en-US" w:eastAsia="zh-CN"/>
              </w:rPr>
              <w:t>工程</w:t>
            </w:r>
            <w:r>
              <w:rPr>
                <w:rFonts w:hint="eastAsia" w:cs="仿宋_GB2312"/>
                <w:bCs/>
                <w:sz w:val="20"/>
                <w:szCs w:val="20"/>
              </w:rPr>
              <w:t>项目</w:t>
            </w:r>
            <w:r>
              <w:rPr>
                <w:rFonts w:hint="eastAsia" w:cs="仿宋_GB2312"/>
                <w:bCs/>
                <w:sz w:val="20"/>
                <w:szCs w:val="20"/>
                <w:lang w:val="en-US" w:eastAsia="zh-CN"/>
              </w:rPr>
              <w:t>带动地方经济发展效果是否</w:t>
            </w:r>
            <w:r>
              <w:rPr>
                <w:rFonts w:hint="eastAsia" w:cs="仿宋_GB2312"/>
                <w:bCs/>
                <w:sz w:val="20"/>
                <w:szCs w:val="20"/>
              </w:rPr>
              <w:t>满意？</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 xml:space="preserve">34.21 </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5</w:t>
            </w:r>
            <w:r>
              <w:rPr>
                <w:rFonts w:hint="eastAsia" w:ascii="Times New Roman" w:hAnsi="Times New Roman" w:eastAsia="仿宋_GB2312" w:cs="Times New Roman"/>
                <w:sz w:val="20"/>
                <w:szCs w:val="20"/>
                <w:lang w:val="en-US" w:eastAsia="zh-CN"/>
              </w:rPr>
              <w:t>1</w:t>
            </w:r>
            <w:r>
              <w:rPr>
                <w:rFonts w:ascii="Times New Roman" w:hAnsi="Times New Roman" w:eastAsia="仿宋_GB2312" w:cs="Times New Roman"/>
                <w:sz w:val="20"/>
                <w:szCs w:val="20"/>
              </w:rPr>
              <w:t>.13</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1</w:t>
            </w:r>
            <w:r>
              <w:rPr>
                <w:rFonts w:hint="eastAsia" w:ascii="Times New Roman" w:hAnsi="Times New Roman" w:eastAsia="仿宋_GB2312" w:cs="Times New Roman"/>
                <w:sz w:val="20"/>
                <w:szCs w:val="20"/>
                <w:lang w:val="en-US" w:eastAsia="zh-CN"/>
              </w:rPr>
              <w:t>4</w:t>
            </w:r>
            <w:r>
              <w:rPr>
                <w:rFonts w:ascii="Times New Roman" w:hAnsi="Times New Roman" w:eastAsia="仿宋_GB2312" w:cs="Times New Roman"/>
                <w:sz w:val="20"/>
                <w:szCs w:val="20"/>
              </w:rPr>
              <w:t>.66</w:t>
            </w:r>
          </w:p>
        </w:tc>
        <w:tc>
          <w:tcPr>
            <w:tcW w:w="105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 xml:space="preserve">0.00 </w:t>
            </w:r>
          </w:p>
        </w:tc>
        <w:tc>
          <w:tcPr>
            <w:tcW w:w="105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8</w:t>
            </w:r>
            <w:r>
              <w:rPr>
                <w:rFonts w:hint="eastAsia" w:ascii="Times New Roman" w:hAnsi="Times New Roman" w:eastAsia="仿宋_GB2312" w:cs="Times New Roman"/>
                <w:sz w:val="20"/>
                <w:szCs w:val="20"/>
                <w:lang w:val="en-US" w:eastAsia="zh-CN"/>
              </w:rPr>
              <w:t>5</w:t>
            </w:r>
            <w:r>
              <w:rPr>
                <w:rFonts w:ascii="Times New Roman" w:hAnsi="Times New Roman" w:eastAsia="仿宋_GB2312" w:cs="Times New Roman"/>
                <w:sz w:val="20"/>
                <w:szCs w:val="20"/>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仿宋_GB2312" w:cs="仿宋_GB2312"/>
                <w:bCs/>
                <w:sz w:val="20"/>
                <w:szCs w:val="20"/>
              </w:rPr>
            </w:pPr>
            <w:r>
              <w:rPr>
                <w:rFonts w:hint="eastAsia" w:ascii="Times New Roman" w:hAnsi="Times New Roman" w:eastAsia="仿宋_GB2312" w:cs="仿宋_GB2312"/>
                <w:bCs/>
                <w:sz w:val="20"/>
                <w:szCs w:val="20"/>
              </w:rPr>
              <w:t>5</w:t>
            </w:r>
          </w:p>
        </w:tc>
        <w:tc>
          <w:tcPr>
            <w:tcW w:w="28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cs="仿宋_GB2312"/>
                <w:bCs/>
                <w:sz w:val="20"/>
                <w:szCs w:val="20"/>
              </w:rPr>
            </w:pPr>
            <w:r>
              <w:rPr>
                <w:rFonts w:hint="eastAsia" w:cs="仿宋_GB2312"/>
                <w:bCs/>
                <w:sz w:val="20"/>
                <w:szCs w:val="20"/>
              </w:rPr>
              <w:t>您对平陆县</w:t>
            </w:r>
            <w:r>
              <w:rPr>
                <w:rFonts w:hint="eastAsia" w:cs="仿宋_GB2312"/>
                <w:bCs/>
                <w:sz w:val="20"/>
                <w:szCs w:val="20"/>
                <w:lang w:val="en-US" w:eastAsia="zh-CN"/>
              </w:rPr>
              <w:t>圣人涧镇营村村一组至二组道路</w:t>
            </w:r>
            <w:r>
              <w:rPr>
                <w:rFonts w:hint="eastAsia" w:cs="仿宋_GB2312"/>
                <w:bCs/>
                <w:sz w:val="20"/>
                <w:szCs w:val="20"/>
              </w:rPr>
              <w:t>建设</w:t>
            </w:r>
            <w:r>
              <w:rPr>
                <w:rFonts w:hint="eastAsia" w:cs="仿宋_GB2312"/>
                <w:bCs/>
                <w:sz w:val="20"/>
                <w:szCs w:val="20"/>
                <w:lang w:val="en-US" w:eastAsia="zh-CN"/>
              </w:rPr>
              <w:t>工程</w:t>
            </w:r>
            <w:r>
              <w:rPr>
                <w:rFonts w:hint="eastAsia" w:cs="仿宋_GB2312"/>
                <w:bCs/>
                <w:sz w:val="20"/>
                <w:szCs w:val="20"/>
              </w:rPr>
              <w:t>项目</w:t>
            </w:r>
            <w:r>
              <w:rPr>
                <w:rFonts w:hint="eastAsia" w:cs="仿宋_GB2312"/>
                <w:bCs/>
                <w:sz w:val="20"/>
                <w:szCs w:val="20"/>
                <w:lang w:val="en-US" w:eastAsia="zh-CN"/>
              </w:rPr>
              <w:t>可持续发展地推动农副产品的销售问题</w:t>
            </w:r>
            <w:r>
              <w:rPr>
                <w:rFonts w:hint="eastAsia" w:cs="仿宋_GB2312"/>
                <w:bCs/>
                <w:sz w:val="20"/>
                <w:szCs w:val="20"/>
              </w:rPr>
              <w:t>是否满意？</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仿宋_GB2312" w:cs="Times New Roman"/>
                <w:sz w:val="20"/>
                <w:szCs w:val="20"/>
              </w:rPr>
            </w:pPr>
            <w:r>
              <w:rPr>
                <w:rFonts w:hint="eastAsia" w:ascii="Times New Roman" w:hAnsi="Times New Roman" w:eastAsia="仿宋_GB2312" w:cs="Times New Roman"/>
                <w:sz w:val="20"/>
                <w:szCs w:val="20"/>
                <w:lang w:val="en-US" w:eastAsia="zh-CN"/>
              </w:rPr>
              <w:t>49</w:t>
            </w:r>
            <w:r>
              <w:rPr>
                <w:rFonts w:hint="eastAsia" w:ascii="Times New Roman" w:hAnsi="Times New Roman" w:eastAsia="仿宋_GB2312" w:cs="Times New Roman"/>
                <w:sz w:val="20"/>
                <w:szCs w:val="20"/>
              </w:rPr>
              <w:t>.51</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仿宋_GB2312" w:cs="Times New Roman"/>
                <w:sz w:val="20"/>
                <w:szCs w:val="20"/>
              </w:rPr>
            </w:pPr>
            <w:r>
              <w:rPr>
                <w:rFonts w:hint="eastAsia" w:ascii="Times New Roman" w:hAnsi="Times New Roman" w:eastAsia="仿宋_GB2312" w:cs="Times New Roman"/>
                <w:sz w:val="20"/>
                <w:szCs w:val="20"/>
              </w:rPr>
              <w:t>35.92</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仿宋_GB2312" w:cs="Times New Roman"/>
                <w:sz w:val="20"/>
                <w:szCs w:val="20"/>
              </w:rPr>
            </w:pPr>
            <w:r>
              <w:rPr>
                <w:rFonts w:hint="eastAsia" w:ascii="Times New Roman" w:hAnsi="Times New Roman" w:eastAsia="仿宋_GB2312" w:cs="Times New Roman"/>
                <w:sz w:val="20"/>
                <w:szCs w:val="20"/>
              </w:rPr>
              <w:t>1</w:t>
            </w:r>
            <w:r>
              <w:rPr>
                <w:rFonts w:hint="eastAsia" w:ascii="Times New Roman" w:hAnsi="Times New Roman" w:eastAsia="仿宋_GB2312" w:cs="Times New Roman"/>
                <w:sz w:val="20"/>
                <w:szCs w:val="20"/>
                <w:lang w:val="en-US" w:eastAsia="zh-CN"/>
              </w:rPr>
              <w:t>4</w:t>
            </w:r>
            <w:r>
              <w:rPr>
                <w:rFonts w:hint="eastAsia" w:ascii="Times New Roman" w:hAnsi="Times New Roman" w:eastAsia="仿宋_GB2312" w:cs="Times New Roman"/>
                <w:sz w:val="20"/>
                <w:szCs w:val="20"/>
              </w:rPr>
              <w:t>.57</w:t>
            </w:r>
          </w:p>
        </w:tc>
        <w:tc>
          <w:tcPr>
            <w:tcW w:w="105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 xml:space="preserve">0.00 </w:t>
            </w:r>
          </w:p>
        </w:tc>
        <w:tc>
          <w:tcPr>
            <w:tcW w:w="105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 xml:space="preserve"> </w:t>
            </w:r>
            <w:r>
              <w:rPr>
                <w:rFonts w:hint="eastAsia" w:ascii="Times New Roman" w:hAnsi="Times New Roman" w:eastAsia="仿宋_GB2312" w:cs="Times New Roman"/>
                <w:sz w:val="20"/>
                <w:szCs w:val="20"/>
              </w:rPr>
              <w:t>8</w:t>
            </w:r>
            <w:r>
              <w:rPr>
                <w:rFonts w:hint="eastAsia" w:ascii="Times New Roman" w:hAnsi="Times New Roman" w:eastAsia="仿宋_GB2312" w:cs="Times New Roman"/>
                <w:sz w:val="20"/>
                <w:szCs w:val="20"/>
                <w:lang w:val="en-US" w:eastAsia="zh-CN"/>
              </w:rPr>
              <w:t>5</w:t>
            </w:r>
            <w:r>
              <w:rPr>
                <w:rFonts w:hint="eastAsia" w:ascii="Times New Roman" w:hAnsi="Times New Roman" w:eastAsia="仿宋_GB2312" w:cs="Times New Roman"/>
                <w:sz w:val="20"/>
                <w:szCs w:val="20"/>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366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cs="仿宋_GB2312"/>
                <w:bCs/>
                <w:sz w:val="20"/>
                <w:szCs w:val="20"/>
              </w:rPr>
            </w:pPr>
            <w:r>
              <w:rPr>
                <w:rFonts w:hint="eastAsia" w:cs="仿宋_GB2312"/>
                <w:bCs/>
                <w:sz w:val="20"/>
                <w:szCs w:val="20"/>
              </w:rPr>
              <w:t>合计</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eastAsia" w:ascii="Times New Roman" w:hAnsi="Times New Roman" w:eastAsia="仿宋_GB2312" w:cs="Times New Roman"/>
                <w:sz w:val="20"/>
                <w:szCs w:val="20"/>
                <w:lang w:eastAsia="zh-CN"/>
              </w:rPr>
            </w:pPr>
            <w:r>
              <w:rPr>
                <w:rFonts w:hint="eastAsia" w:ascii="Times New Roman" w:hAnsi="Times New Roman" w:eastAsia="仿宋_GB2312" w:cs="Times New Roman"/>
                <w:sz w:val="20"/>
                <w:szCs w:val="20"/>
              </w:rPr>
              <w:t>43.</w:t>
            </w:r>
            <w:r>
              <w:rPr>
                <w:rFonts w:hint="eastAsia" w:ascii="Times New Roman" w:hAnsi="Times New Roman" w:eastAsia="仿宋_GB2312" w:cs="Times New Roman"/>
                <w:sz w:val="20"/>
                <w:szCs w:val="20"/>
                <w:lang w:val="en-US" w:eastAsia="zh-CN"/>
              </w:rPr>
              <w:t>3</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仿宋_GB2312" w:cs="Times New Roman"/>
                <w:sz w:val="20"/>
                <w:szCs w:val="20"/>
              </w:rPr>
            </w:pPr>
            <w:r>
              <w:rPr>
                <w:rFonts w:hint="eastAsia" w:ascii="Times New Roman" w:hAnsi="Times New Roman" w:cs="Times New Roman"/>
                <w:color w:val="000000"/>
                <w:sz w:val="20"/>
                <w:szCs w:val="20"/>
              </w:rPr>
              <w:t>42.</w:t>
            </w:r>
            <w:r>
              <w:rPr>
                <w:rFonts w:hint="eastAsia" w:ascii="Times New Roman" w:hAnsi="Times New Roman" w:cs="Times New Roman"/>
                <w:color w:val="000000"/>
                <w:sz w:val="20"/>
                <w:szCs w:val="20"/>
                <w:lang w:val="en-US" w:eastAsia="zh-CN"/>
              </w:rPr>
              <w:t>3</w:t>
            </w:r>
            <w:r>
              <w:rPr>
                <w:rFonts w:hint="eastAsia" w:ascii="Times New Roman" w:hAnsi="Times New Roman" w:cs="Times New Roman"/>
                <w:color w:val="000000"/>
                <w:sz w:val="20"/>
                <w:szCs w:val="20"/>
              </w:rPr>
              <w:t>7</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仿宋_GB2312" w:cs="Times New Roman"/>
                <w:sz w:val="20"/>
                <w:szCs w:val="20"/>
              </w:rPr>
            </w:pPr>
            <w:r>
              <w:rPr>
                <w:rFonts w:hint="eastAsia" w:ascii="Times New Roman" w:hAnsi="Times New Roman" w:cs="Times New Roman"/>
                <w:color w:val="000000"/>
                <w:sz w:val="20"/>
                <w:szCs w:val="20"/>
              </w:rPr>
              <w:t>1</w:t>
            </w:r>
            <w:r>
              <w:rPr>
                <w:rFonts w:hint="eastAsia" w:ascii="Times New Roman" w:hAnsi="Times New Roman" w:cs="Times New Roman"/>
                <w:color w:val="000000"/>
                <w:sz w:val="20"/>
                <w:szCs w:val="20"/>
                <w:lang w:val="en-US" w:eastAsia="zh-CN"/>
              </w:rPr>
              <w:t>4</w:t>
            </w:r>
            <w:r>
              <w:rPr>
                <w:rFonts w:hint="eastAsia" w:ascii="Times New Roman" w:hAnsi="Times New Roman" w:cs="Times New Roman"/>
                <w:color w:val="000000"/>
                <w:sz w:val="20"/>
                <w:szCs w:val="20"/>
              </w:rPr>
              <w:t>.33</w:t>
            </w:r>
          </w:p>
        </w:tc>
        <w:tc>
          <w:tcPr>
            <w:tcW w:w="105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hAnsi="Times New Roman" w:eastAsia="仿宋_GB2312" w:cs="Times New Roman"/>
                <w:sz w:val="20"/>
                <w:szCs w:val="20"/>
              </w:rPr>
            </w:pPr>
            <w:r>
              <w:rPr>
                <w:rFonts w:ascii="Times New Roman" w:hAnsi="Times New Roman" w:eastAsia="仿宋_GB2312" w:cs="Times New Roman"/>
                <w:sz w:val="20"/>
                <w:szCs w:val="20"/>
              </w:rPr>
              <w:t>0.00</w:t>
            </w:r>
          </w:p>
        </w:tc>
        <w:tc>
          <w:tcPr>
            <w:tcW w:w="105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仿宋_GB2312" w:cs="Times New Roman"/>
                <w:sz w:val="20"/>
                <w:szCs w:val="20"/>
              </w:rPr>
            </w:pPr>
            <w:r>
              <w:rPr>
                <w:rFonts w:hint="eastAsia" w:ascii="Times New Roman" w:hAnsi="Times New Roman" w:cs="Times New Roman"/>
                <w:color w:val="000000"/>
                <w:sz w:val="20"/>
                <w:szCs w:val="20"/>
              </w:rPr>
              <w:t>8</w:t>
            </w:r>
            <w:r>
              <w:rPr>
                <w:rFonts w:hint="eastAsia" w:ascii="Times New Roman" w:hAnsi="Times New Roman" w:cs="Times New Roman"/>
                <w:color w:val="000000"/>
                <w:sz w:val="20"/>
                <w:szCs w:val="20"/>
                <w:lang w:val="en-US" w:eastAsia="zh-CN"/>
              </w:rPr>
              <w:t>5</w:t>
            </w:r>
            <w:r>
              <w:rPr>
                <w:rFonts w:hint="eastAsia" w:ascii="Times New Roman" w:hAnsi="Times New Roman" w:cs="Times New Roman"/>
                <w:color w:val="000000"/>
                <w:sz w:val="20"/>
                <w:szCs w:val="20"/>
              </w:rPr>
              <w:t>.67</w:t>
            </w:r>
          </w:p>
        </w:tc>
      </w:tr>
      <w:bookmarkEnd w:id="0"/>
      <w:bookmarkEnd w:id="80"/>
      <w:bookmarkEnd w:id="81"/>
    </w:tbl>
    <w:p>
      <w:pPr>
        <w:widowControl w:val="0"/>
        <w:ind w:firstLine="643" w:firstLineChars="200"/>
        <w:rPr>
          <w:rFonts w:ascii="黑体" w:hAnsi="黑体" w:eastAsia="黑体"/>
          <w:b/>
          <w:bCs/>
          <w:sz w:val="32"/>
          <w:szCs w:val="32"/>
        </w:rPr>
      </w:pPr>
    </w:p>
    <w:p>
      <w:pPr>
        <w:widowControl w:val="0"/>
        <w:ind w:firstLine="643" w:firstLineChars="200"/>
        <w:rPr>
          <w:rFonts w:ascii="黑体" w:hAnsi="黑体" w:eastAsia="黑体"/>
          <w:b/>
          <w:bCs/>
          <w:sz w:val="32"/>
          <w:szCs w:val="32"/>
        </w:rPr>
      </w:pPr>
      <w:r>
        <w:rPr>
          <w:rFonts w:hint="eastAsia" w:ascii="黑体" w:hAnsi="黑体" w:eastAsia="黑体"/>
          <w:b/>
          <w:bCs/>
          <w:sz w:val="32"/>
          <w:szCs w:val="32"/>
        </w:rPr>
        <w:t>六、满意度调查结果</w:t>
      </w:r>
    </w:p>
    <w:p>
      <w:pPr>
        <w:pStyle w:val="2"/>
        <w:ind w:firstLine="640" w:firstLineChars="200"/>
      </w:pPr>
      <w:r>
        <w:rPr>
          <w:rFonts w:hint="eastAsia" w:ascii="仿宋_GB2312" w:hAnsi="仿宋_GB2312" w:eastAsia="仿宋_GB2312" w:cs="仿宋_GB2312"/>
          <w:bCs/>
          <w:kern w:val="2"/>
          <w:sz w:val="32"/>
          <w:szCs w:val="32"/>
        </w:rPr>
        <w:t>综合以上分析，受益村民对</w:t>
      </w:r>
      <w:r>
        <w:rPr>
          <w:rFonts w:hint="eastAsia" w:ascii="Times New Roman" w:hAnsi="Times New Roman" w:eastAsia="仿宋_GB2312" w:cs="仿宋_GB2312"/>
          <w:sz w:val="32"/>
          <w:szCs w:val="32"/>
        </w:rPr>
        <w:t>2019年平陆县圣人涧镇营村村一组至二组道路建设工程项目</w:t>
      </w:r>
      <w:r>
        <w:rPr>
          <w:rFonts w:hint="eastAsia" w:ascii="仿宋_GB2312" w:hAnsi="仿宋_GB2312" w:eastAsia="仿宋_GB2312" w:cs="仿宋_GB2312"/>
          <w:bCs/>
          <w:kern w:val="2"/>
          <w:sz w:val="32"/>
          <w:szCs w:val="32"/>
        </w:rPr>
        <w:t>的满意度为</w:t>
      </w:r>
      <w:r>
        <w:rPr>
          <w:rFonts w:hint="eastAsia" w:ascii="Times New Roman" w:hAnsi="Times New Roman" w:eastAsia="仿宋_GB2312" w:cs="仿宋_GB2312"/>
          <w:sz w:val="32"/>
          <w:szCs w:val="32"/>
        </w:rPr>
        <w:t>8</w:t>
      </w:r>
      <w:r>
        <w:rPr>
          <w:rFonts w:hint="eastAsia" w:ascii="Times New Roman" w:hAnsi="Times New Roman" w:eastAsia="仿宋_GB2312" w:cs="仿宋_GB2312"/>
          <w:sz w:val="32"/>
          <w:szCs w:val="32"/>
          <w:lang w:val="en-US" w:eastAsia="zh-CN"/>
        </w:rPr>
        <w:t>5</w:t>
      </w:r>
      <w:r>
        <w:rPr>
          <w:rFonts w:hint="eastAsia" w:ascii="Times New Roman" w:hAnsi="Times New Roman" w:eastAsia="仿宋_GB2312" w:cs="仿宋_GB2312"/>
          <w:sz w:val="32"/>
          <w:szCs w:val="32"/>
        </w:rPr>
        <w:t>.67%，村民对项目整体的满意度高</w:t>
      </w:r>
      <w:r>
        <w:rPr>
          <w:rFonts w:hint="eastAsia" w:ascii="仿宋_GB2312" w:hAnsi="仿宋_GB2312" w:eastAsia="仿宋_GB2312" w:cs="仿宋_GB2312"/>
          <w:bCs/>
          <w:kern w:val="2"/>
          <w:sz w:val="32"/>
          <w:szCs w:val="32"/>
        </w:rPr>
        <w:t>。</w:t>
      </w:r>
    </w:p>
    <w:p>
      <w:pPr>
        <w:pStyle w:val="2"/>
      </w:pPr>
    </w:p>
    <w:p>
      <w:pPr>
        <w:pStyle w:val="2"/>
      </w:pPr>
    </w:p>
    <w:p>
      <w:pPr>
        <w:pStyle w:val="2"/>
      </w:pPr>
    </w:p>
    <w:p>
      <w:pPr>
        <w:pStyle w:val="2"/>
        <w:sectPr>
          <w:headerReference r:id="rId12" w:type="even"/>
          <w:pgSz w:w="11906" w:h="16838"/>
          <w:pgMar w:top="2098" w:right="1531" w:bottom="1985" w:left="1531" w:header="851" w:footer="992" w:gutter="0"/>
          <w:pgNumType w:fmt="numberInDash"/>
          <w:cols w:space="720" w:num="1"/>
          <w:docGrid w:linePitch="312" w:charSpace="0"/>
        </w:sectPr>
      </w:pPr>
    </w:p>
    <w:p>
      <w:pPr>
        <w:pStyle w:val="2"/>
      </w:pPr>
    </w:p>
    <w:p>
      <w:pPr>
        <w:pStyle w:val="2"/>
        <w:ind w:firstLine="960" w:firstLineChars="300"/>
        <w:rPr>
          <w:rFonts w:ascii="楷体" w:hAnsi="楷体" w:eastAsia="楷体" w:cs="楷体"/>
          <w:sz w:val="32"/>
          <w:szCs w:val="32"/>
        </w:rPr>
      </w:pPr>
      <w:r>
        <w:rPr>
          <w:rFonts w:hint="eastAsia" w:ascii="楷体" w:hAnsi="楷体" w:eastAsia="楷体" w:cs="楷体"/>
          <w:sz w:val="32"/>
          <w:szCs w:val="32"/>
        </w:rPr>
        <w:t>（此页无正文）</w:t>
      </w:r>
    </w:p>
    <w:sectPr>
      <w:pgSz w:w="11906" w:h="16838"/>
      <w:pgMar w:top="2098" w:right="1531" w:bottom="1985" w:left="1531"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Sylfaen">
    <w:panose1 w:val="010A0502050306030303"/>
    <w:charset w:val="00"/>
    <w:family w:val="roman"/>
    <w:pitch w:val="default"/>
    <w:sig w:usb0="04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 w:name="Wingdings 2">
    <w:panose1 w:val="05020102010507070707"/>
    <w:charset w:val="00"/>
    <w:family w:val="auto"/>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仿宋" w:hAnsi="仿宋" w:eastAsia="仿宋_GB2312"/>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1217037"/>
      <w:docPartObj>
        <w:docPartGallery w:val="autotext"/>
      </w:docPartObj>
    </w:sdtPr>
    <w:sdtContent>
      <w:p>
        <w:pPr>
          <w:pStyle w:val="12"/>
          <w:jc w:val="right"/>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w:t>
        </w:r>
        <w:r>
          <w:rPr>
            <w:rFonts w:ascii="Times New Roman" w:hAnsi="Times New Roman" w:eastAsia="仿宋_GB2312"/>
            <w:sz w:val="28"/>
            <w:szCs w:val="28"/>
          </w:rPr>
          <w:t>29</w:t>
        </w:r>
        <w:r>
          <w:rPr>
            <w:rFonts w:ascii="仿宋_GB2312" w:eastAsia="仿宋_GB2312"/>
            <w:sz w:val="28"/>
            <w:szCs w:val="28"/>
          </w:rPr>
          <w:t xml:space="preserve"> -</w:t>
        </w:r>
        <w:r>
          <w:rPr>
            <w:rFonts w:hint="eastAsia" w:ascii="仿宋_GB2312" w:eastAsia="仿宋_GB2312"/>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131222"/>
      <w:docPartObj>
        <w:docPartGallery w:val="autotext"/>
      </w:docPartObj>
    </w:sdtPr>
    <w:sdtEndPr>
      <w:rPr>
        <w:rFonts w:ascii="宋体" w:hAnsi="宋体" w:eastAsia="宋体"/>
        <w:sz w:val="28"/>
        <w:szCs w:val="28"/>
      </w:rPr>
    </w:sdtEndPr>
    <w:sdtContent>
      <w:p>
        <w:pPr>
          <w:pStyle w:val="12"/>
          <w:jc w:val="left"/>
        </w:pPr>
        <w:r>
          <w:rPr>
            <w:rFonts w:hint="eastAsia" w:ascii="仿宋_GB2312" w:hAnsi="宋体" w:eastAsia="仿宋_GB2312"/>
            <w:sz w:val="28"/>
            <w:szCs w:val="28"/>
          </w:rPr>
          <w:fldChar w:fldCharType="begin"/>
        </w:r>
        <w:r>
          <w:rPr>
            <w:rFonts w:hint="eastAsia" w:ascii="仿宋_GB2312" w:hAnsi="宋体" w:eastAsia="仿宋_GB2312"/>
            <w:sz w:val="28"/>
            <w:szCs w:val="28"/>
          </w:rPr>
          <w:instrText xml:space="preserve"> PAGE   \* MERGEFORMAT </w:instrText>
        </w:r>
        <w:r>
          <w:rPr>
            <w:rFonts w:hint="eastAsia" w:ascii="仿宋_GB2312" w:hAnsi="宋体" w:eastAsia="仿宋_GB2312"/>
            <w:sz w:val="28"/>
            <w:szCs w:val="28"/>
          </w:rPr>
          <w:fldChar w:fldCharType="separate"/>
        </w:r>
        <w:r>
          <w:rPr>
            <w:rFonts w:ascii="仿宋_GB2312" w:hAnsi="宋体" w:eastAsia="仿宋_GB2312"/>
            <w:sz w:val="28"/>
            <w:szCs w:val="28"/>
            <w:lang w:val="zh-CN"/>
          </w:rPr>
          <w:t>-</w:t>
        </w:r>
        <w:r>
          <w:rPr>
            <w:rFonts w:ascii="仿宋_GB2312" w:hAnsi="宋体" w:eastAsia="仿宋_GB2312"/>
            <w:sz w:val="28"/>
            <w:szCs w:val="28"/>
          </w:rPr>
          <w:t xml:space="preserve"> </w:t>
        </w:r>
        <w:r>
          <w:rPr>
            <w:rFonts w:ascii="Times New Roman" w:hAnsi="Times New Roman" w:eastAsia="仿宋_GB2312"/>
            <w:sz w:val="28"/>
            <w:szCs w:val="28"/>
          </w:rPr>
          <w:t>30</w:t>
        </w:r>
        <w:r>
          <w:rPr>
            <w:rFonts w:ascii="仿宋_GB2312" w:hAnsi="宋体" w:eastAsia="仿宋_GB2312"/>
            <w:sz w:val="28"/>
            <w:szCs w:val="28"/>
          </w:rPr>
          <w:t xml:space="preserve"> -</w:t>
        </w:r>
        <w:r>
          <w:rPr>
            <w:rFonts w:hint="eastAsia" w:ascii="仿宋_GB2312" w:hAnsi="宋体" w:eastAsia="仿宋_GB2312"/>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ind w:left="3240" w:hanging="3240" w:hangingChars="18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720" w:hanging="720" w:hangingChars="400"/>
      <w:rPr>
        <w:rFonts w:ascii="仿宋" w:hAnsi="仿宋" w:eastAsia="仿宋" w:cs="仿宋"/>
        <w:bCs/>
      </w:rPr>
    </w:pPr>
    <w:r>
      <w:drawing>
        <wp:inline distT="0" distB="0" distL="114300" distR="114300">
          <wp:extent cx="390525" cy="238125"/>
          <wp:effectExtent l="0" t="0" r="5715" b="5715"/>
          <wp:docPr id="15" name="图片 15" descr="山西国元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山西国元标志"/>
                  <pic:cNvPicPr>
                    <a:picLocks noChangeAspect="1"/>
                  </pic:cNvPicPr>
                </pic:nvPicPr>
                <pic:blipFill>
                  <a:blip r:embed="rId1"/>
                  <a:stretch>
                    <a:fillRect/>
                  </a:stretch>
                </pic:blipFill>
                <pic:spPr>
                  <a:xfrm>
                    <a:off x="0" y="0"/>
                    <a:ext cx="390525" cy="238125"/>
                  </a:xfrm>
                  <a:prstGeom prst="rect">
                    <a:avLst/>
                  </a:prstGeom>
                  <a:noFill/>
                  <a:ln>
                    <a:noFill/>
                  </a:ln>
                </pic:spPr>
              </pic:pic>
            </a:graphicData>
          </a:graphic>
        </wp:inline>
      </w:drawing>
    </w:r>
    <w:r>
      <w:rPr>
        <w:rFonts w:hint="eastAsia" w:ascii="Times New Roman" w:hAnsi="Times New Roman" w:eastAsia="仿宋" w:cs="仿宋"/>
        <w:bCs/>
      </w:rPr>
      <w:t>2019年平陆县圣人涧镇营村村一组至二组道路建设工程项目支出绩效评价报告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drawing>
        <wp:inline distT="0" distB="0" distL="0" distR="0">
          <wp:extent cx="390525" cy="238125"/>
          <wp:effectExtent l="0" t="0" r="5715" b="5715"/>
          <wp:docPr id="14" name="图片 14" descr="山西国元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山西国元标志"/>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90525" cy="238125"/>
                  </a:xfrm>
                  <a:prstGeom prst="rect">
                    <a:avLst/>
                  </a:prstGeom>
                  <a:noFill/>
                  <a:ln>
                    <a:noFill/>
                  </a:ln>
                </pic:spPr>
              </pic:pic>
            </a:graphicData>
          </a:graphic>
        </wp:inline>
      </w:drawing>
    </w:r>
    <w:r>
      <w:rPr>
        <w:rFonts w:hint="eastAsia" w:ascii="Times New Roman" w:hAnsi="Times New Roman" w:eastAsia="仿宋" w:cs="仿宋"/>
        <w:bCs/>
      </w:rPr>
      <w:t>2019年平陆县圣人涧镇营村村一组至二组道路建设工程项目支出绩效评价报告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drawing>
        <wp:inline distT="0" distB="0" distL="0" distR="0">
          <wp:extent cx="390525" cy="238125"/>
          <wp:effectExtent l="0" t="0" r="5715" b="5715"/>
          <wp:docPr id="16" name="图片 16" descr="山西国元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山西国元标志"/>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90525" cy="238125"/>
                  </a:xfrm>
                  <a:prstGeom prst="rect">
                    <a:avLst/>
                  </a:prstGeom>
                  <a:noFill/>
                  <a:ln>
                    <a:noFill/>
                  </a:ln>
                </pic:spPr>
              </pic:pic>
            </a:graphicData>
          </a:graphic>
        </wp:inline>
      </w:drawing>
    </w:r>
    <w:r>
      <w:rPr>
        <w:rFonts w:hint="eastAsia" w:ascii="Times New Roman" w:hAnsi="Times New Roman" w:eastAsia="仿宋" w:cs="仿宋"/>
        <w:bCs/>
      </w:rPr>
      <w:t>2019年平陆县圣人涧镇营村村一组至二组道路建设工程项目支出绩效评价报告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720" w:hanging="720" w:hangingChars="400"/>
      <w:rPr>
        <w:rFonts w:ascii="仿宋" w:hAnsi="仿宋" w:eastAsia="仿宋" w:cs="仿宋"/>
        <w:bCs/>
      </w:rPr>
    </w:pPr>
    <w:r>
      <w:drawing>
        <wp:inline distT="0" distB="0" distL="0" distR="0">
          <wp:extent cx="390525" cy="238125"/>
          <wp:effectExtent l="0" t="0" r="5715" b="5715"/>
          <wp:docPr id="21" name="图片 21" descr="山西国元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山西国元标志"/>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90525" cy="238125"/>
                  </a:xfrm>
                  <a:prstGeom prst="rect">
                    <a:avLst/>
                  </a:prstGeom>
                  <a:noFill/>
                  <a:ln>
                    <a:noFill/>
                  </a:ln>
                </pic:spPr>
              </pic:pic>
            </a:graphicData>
          </a:graphic>
        </wp:inline>
      </w:drawing>
    </w:r>
    <w:r>
      <w:rPr>
        <w:rFonts w:hint="eastAsia" w:ascii="Times New Roman" w:hAnsi="Times New Roman" w:eastAsia="仿宋" w:cs="仿宋"/>
        <w:bCs/>
      </w:rPr>
      <w:t>2019年平陆县圣人涧镇营村村一组至二组道路建设工程项目支出绩效评价报告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320D53"/>
    <w:multiLevelType w:val="singleLevel"/>
    <w:tmpl w:val="85320D53"/>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dit="readOnly" w:enforcement="0"/>
  <w:defaultTabStop w:val="420"/>
  <w:evenAndOddHeaders w:val="1"/>
  <w:drawingGridHorizontalSpacing w:val="120"/>
  <w:drawingGridVerticalSpacing w:val="163"/>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C6767"/>
    <w:rsid w:val="000002C6"/>
    <w:rsid w:val="000003FF"/>
    <w:rsid w:val="000032E7"/>
    <w:rsid w:val="00004070"/>
    <w:rsid w:val="00004752"/>
    <w:rsid w:val="00004975"/>
    <w:rsid w:val="000051B5"/>
    <w:rsid w:val="000063E1"/>
    <w:rsid w:val="000066B0"/>
    <w:rsid w:val="0000690B"/>
    <w:rsid w:val="00006CC6"/>
    <w:rsid w:val="00006FE2"/>
    <w:rsid w:val="00007CE3"/>
    <w:rsid w:val="00012617"/>
    <w:rsid w:val="00014C29"/>
    <w:rsid w:val="00015376"/>
    <w:rsid w:val="000157A6"/>
    <w:rsid w:val="0001624A"/>
    <w:rsid w:val="00020DBF"/>
    <w:rsid w:val="000246BD"/>
    <w:rsid w:val="00024744"/>
    <w:rsid w:val="00026553"/>
    <w:rsid w:val="00026A0D"/>
    <w:rsid w:val="000273F0"/>
    <w:rsid w:val="00027E47"/>
    <w:rsid w:val="000305FB"/>
    <w:rsid w:val="00030AA6"/>
    <w:rsid w:val="000314BE"/>
    <w:rsid w:val="00031E85"/>
    <w:rsid w:val="00032012"/>
    <w:rsid w:val="0003394B"/>
    <w:rsid w:val="00033AB9"/>
    <w:rsid w:val="0003463E"/>
    <w:rsid w:val="000412EC"/>
    <w:rsid w:val="00042459"/>
    <w:rsid w:val="0004471A"/>
    <w:rsid w:val="000455DA"/>
    <w:rsid w:val="00045EAE"/>
    <w:rsid w:val="0004722F"/>
    <w:rsid w:val="00047830"/>
    <w:rsid w:val="000479AD"/>
    <w:rsid w:val="000479C9"/>
    <w:rsid w:val="00051F4B"/>
    <w:rsid w:val="0005369C"/>
    <w:rsid w:val="00054526"/>
    <w:rsid w:val="0005504E"/>
    <w:rsid w:val="000553E0"/>
    <w:rsid w:val="00055667"/>
    <w:rsid w:val="00056286"/>
    <w:rsid w:val="000569BB"/>
    <w:rsid w:val="00056D3F"/>
    <w:rsid w:val="00061A80"/>
    <w:rsid w:val="00061BCE"/>
    <w:rsid w:val="00064ED9"/>
    <w:rsid w:val="00065716"/>
    <w:rsid w:val="000657D2"/>
    <w:rsid w:val="00065BD0"/>
    <w:rsid w:val="000668DF"/>
    <w:rsid w:val="000678B8"/>
    <w:rsid w:val="00070062"/>
    <w:rsid w:val="00071EB5"/>
    <w:rsid w:val="00073B92"/>
    <w:rsid w:val="00073F08"/>
    <w:rsid w:val="000750EF"/>
    <w:rsid w:val="00075F5F"/>
    <w:rsid w:val="00076963"/>
    <w:rsid w:val="00076D17"/>
    <w:rsid w:val="000774B8"/>
    <w:rsid w:val="00077CCE"/>
    <w:rsid w:val="000817A0"/>
    <w:rsid w:val="00082428"/>
    <w:rsid w:val="000825C2"/>
    <w:rsid w:val="000829D4"/>
    <w:rsid w:val="00083028"/>
    <w:rsid w:val="000836F6"/>
    <w:rsid w:val="000843BB"/>
    <w:rsid w:val="00084D44"/>
    <w:rsid w:val="000866B6"/>
    <w:rsid w:val="00087764"/>
    <w:rsid w:val="00091C6E"/>
    <w:rsid w:val="0009208B"/>
    <w:rsid w:val="0009252A"/>
    <w:rsid w:val="00094375"/>
    <w:rsid w:val="000947C6"/>
    <w:rsid w:val="00094AF5"/>
    <w:rsid w:val="000951FD"/>
    <w:rsid w:val="000961C8"/>
    <w:rsid w:val="000A1C4D"/>
    <w:rsid w:val="000A1F3E"/>
    <w:rsid w:val="000A27ED"/>
    <w:rsid w:val="000A312D"/>
    <w:rsid w:val="000A66E2"/>
    <w:rsid w:val="000A7A34"/>
    <w:rsid w:val="000A7B74"/>
    <w:rsid w:val="000B04BC"/>
    <w:rsid w:val="000B0795"/>
    <w:rsid w:val="000B1A7A"/>
    <w:rsid w:val="000B24EA"/>
    <w:rsid w:val="000B27A2"/>
    <w:rsid w:val="000B2E9A"/>
    <w:rsid w:val="000B436D"/>
    <w:rsid w:val="000B67A1"/>
    <w:rsid w:val="000B73DD"/>
    <w:rsid w:val="000B759F"/>
    <w:rsid w:val="000C02FF"/>
    <w:rsid w:val="000C1F6B"/>
    <w:rsid w:val="000C406B"/>
    <w:rsid w:val="000C555E"/>
    <w:rsid w:val="000C6931"/>
    <w:rsid w:val="000D0E05"/>
    <w:rsid w:val="000D1DE1"/>
    <w:rsid w:val="000D4ADF"/>
    <w:rsid w:val="000D5178"/>
    <w:rsid w:val="000D6722"/>
    <w:rsid w:val="000E040E"/>
    <w:rsid w:val="000E098F"/>
    <w:rsid w:val="000E0A21"/>
    <w:rsid w:val="000E2356"/>
    <w:rsid w:val="000E4315"/>
    <w:rsid w:val="000E4F51"/>
    <w:rsid w:val="000E69B9"/>
    <w:rsid w:val="000F0F77"/>
    <w:rsid w:val="000F37EA"/>
    <w:rsid w:val="000F41BD"/>
    <w:rsid w:val="000F449D"/>
    <w:rsid w:val="000F4DA7"/>
    <w:rsid w:val="000F4E23"/>
    <w:rsid w:val="000F58B4"/>
    <w:rsid w:val="000F6B77"/>
    <w:rsid w:val="001007A5"/>
    <w:rsid w:val="00100BAA"/>
    <w:rsid w:val="00100E9A"/>
    <w:rsid w:val="00102CE5"/>
    <w:rsid w:val="0010340E"/>
    <w:rsid w:val="001036D9"/>
    <w:rsid w:val="00106132"/>
    <w:rsid w:val="00106FD6"/>
    <w:rsid w:val="00111383"/>
    <w:rsid w:val="001124A0"/>
    <w:rsid w:val="001128B3"/>
    <w:rsid w:val="00115D1D"/>
    <w:rsid w:val="00117344"/>
    <w:rsid w:val="00120263"/>
    <w:rsid w:val="00122F60"/>
    <w:rsid w:val="00123C60"/>
    <w:rsid w:val="001264F8"/>
    <w:rsid w:val="00130479"/>
    <w:rsid w:val="00130BDA"/>
    <w:rsid w:val="001311E6"/>
    <w:rsid w:val="00131DEC"/>
    <w:rsid w:val="00132011"/>
    <w:rsid w:val="0013227F"/>
    <w:rsid w:val="00132DF7"/>
    <w:rsid w:val="00133919"/>
    <w:rsid w:val="00135464"/>
    <w:rsid w:val="0013567C"/>
    <w:rsid w:val="00135773"/>
    <w:rsid w:val="001366E4"/>
    <w:rsid w:val="0013682F"/>
    <w:rsid w:val="0013697B"/>
    <w:rsid w:val="00137A1F"/>
    <w:rsid w:val="001404CB"/>
    <w:rsid w:val="00140E1E"/>
    <w:rsid w:val="00142785"/>
    <w:rsid w:val="001429B2"/>
    <w:rsid w:val="00143CAC"/>
    <w:rsid w:val="00146983"/>
    <w:rsid w:val="00146CC9"/>
    <w:rsid w:val="001473BD"/>
    <w:rsid w:val="00147870"/>
    <w:rsid w:val="001479B4"/>
    <w:rsid w:val="001525A0"/>
    <w:rsid w:val="001545FE"/>
    <w:rsid w:val="00156251"/>
    <w:rsid w:val="00156BAD"/>
    <w:rsid w:val="00156C06"/>
    <w:rsid w:val="00160FDE"/>
    <w:rsid w:val="00162A9F"/>
    <w:rsid w:val="00162EA3"/>
    <w:rsid w:val="00162F25"/>
    <w:rsid w:val="001648F6"/>
    <w:rsid w:val="0016606C"/>
    <w:rsid w:val="00167637"/>
    <w:rsid w:val="00170FD1"/>
    <w:rsid w:val="001733E2"/>
    <w:rsid w:val="001735D8"/>
    <w:rsid w:val="00174C41"/>
    <w:rsid w:val="0017561C"/>
    <w:rsid w:val="00176856"/>
    <w:rsid w:val="00177158"/>
    <w:rsid w:val="001809C7"/>
    <w:rsid w:val="0018120D"/>
    <w:rsid w:val="00181DC6"/>
    <w:rsid w:val="00182383"/>
    <w:rsid w:val="00182589"/>
    <w:rsid w:val="00184178"/>
    <w:rsid w:val="00185D3B"/>
    <w:rsid w:val="0018705E"/>
    <w:rsid w:val="00187B70"/>
    <w:rsid w:val="00190CFC"/>
    <w:rsid w:val="00193167"/>
    <w:rsid w:val="00193306"/>
    <w:rsid w:val="001933B1"/>
    <w:rsid w:val="00195AE5"/>
    <w:rsid w:val="00197E24"/>
    <w:rsid w:val="001A0997"/>
    <w:rsid w:val="001A09DF"/>
    <w:rsid w:val="001A14F0"/>
    <w:rsid w:val="001A1B23"/>
    <w:rsid w:val="001A1DB3"/>
    <w:rsid w:val="001A2EE8"/>
    <w:rsid w:val="001A3171"/>
    <w:rsid w:val="001A398E"/>
    <w:rsid w:val="001A5503"/>
    <w:rsid w:val="001A5BEC"/>
    <w:rsid w:val="001A72D1"/>
    <w:rsid w:val="001A792D"/>
    <w:rsid w:val="001B08FD"/>
    <w:rsid w:val="001B2218"/>
    <w:rsid w:val="001B277C"/>
    <w:rsid w:val="001B2FE7"/>
    <w:rsid w:val="001B3353"/>
    <w:rsid w:val="001B3CFD"/>
    <w:rsid w:val="001B3EF7"/>
    <w:rsid w:val="001B4560"/>
    <w:rsid w:val="001B5458"/>
    <w:rsid w:val="001B5A2E"/>
    <w:rsid w:val="001B6178"/>
    <w:rsid w:val="001B61E9"/>
    <w:rsid w:val="001B6FFA"/>
    <w:rsid w:val="001C0CC5"/>
    <w:rsid w:val="001C2B6D"/>
    <w:rsid w:val="001C2E09"/>
    <w:rsid w:val="001C303A"/>
    <w:rsid w:val="001C4070"/>
    <w:rsid w:val="001C4167"/>
    <w:rsid w:val="001C6113"/>
    <w:rsid w:val="001D15D6"/>
    <w:rsid w:val="001D17F3"/>
    <w:rsid w:val="001D2DD6"/>
    <w:rsid w:val="001D5308"/>
    <w:rsid w:val="001E1835"/>
    <w:rsid w:val="001E3876"/>
    <w:rsid w:val="001E473C"/>
    <w:rsid w:val="001E496A"/>
    <w:rsid w:val="001E5B2F"/>
    <w:rsid w:val="001E655F"/>
    <w:rsid w:val="001E72AB"/>
    <w:rsid w:val="001F02B9"/>
    <w:rsid w:val="001F0EF2"/>
    <w:rsid w:val="001F123E"/>
    <w:rsid w:val="001F205C"/>
    <w:rsid w:val="001F2ECE"/>
    <w:rsid w:val="001F4098"/>
    <w:rsid w:val="001F68DE"/>
    <w:rsid w:val="001F72C9"/>
    <w:rsid w:val="00200181"/>
    <w:rsid w:val="00200D72"/>
    <w:rsid w:val="002037C0"/>
    <w:rsid w:val="00206BC2"/>
    <w:rsid w:val="00206C65"/>
    <w:rsid w:val="00207AD8"/>
    <w:rsid w:val="00210934"/>
    <w:rsid w:val="00221FE3"/>
    <w:rsid w:val="002239ED"/>
    <w:rsid w:val="00223AC7"/>
    <w:rsid w:val="00225D56"/>
    <w:rsid w:val="002272FC"/>
    <w:rsid w:val="0023161B"/>
    <w:rsid w:val="00231705"/>
    <w:rsid w:val="00231E55"/>
    <w:rsid w:val="00232FD3"/>
    <w:rsid w:val="002345CF"/>
    <w:rsid w:val="002348A7"/>
    <w:rsid w:val="00234996"/>
    <w:rsid w:val="00235C83"/>
    <w:rsid w:val="00240776"/>
    <w:rsid w:val="0024088D"/>
    <w:rsid w:val="002416E5"/>
    <w:rsid w:val="00242413"/>
    <w:rsid w:val="0024337A"/>
    <w:rsid w:val="0024355E"/>
    <w:rsid w:val="00246DE2"/>
    <w:rsid w:val="00247423"/>
    <w:rsid w:val="002474EE"/>
    <w:rsid w:val="002478DD"/>
    <w:rsid w:val="00251876"/>
    <w:rsid w:val="00251CE2"/>
    <w:rsid w:val="0025221F"/>
    <w:rsid w:val="00253E28"/>
    <w:rsid w:val="00255406"/>
    <w:rsid w:val="0025647C"/>
    <w:rsid w:val="0026259E"/>
    <w:rsid w:val="00262B0B"/>
    <w:rsid w:val="00264289"/>
    <w:rsid w:val="002656AF"/>
    <w:rsid w:val="00266083"/>
    <w:rsid w:val="00267479"/>
    <w:rsid w:val="0027048A"/>
    <w:rsid w:val="002723A8"/>
    <w:rsid w:val="0027392E"/>
    <w:rsid w:val="002743F3"/>
    <w:rsid w:val="00275D53"/>
    <w:rsid w:val="00276452"/>
    <w:rsid w:val="00277035"/>
    <w:rsid w:val="002802AC"/>
    <w:rsid w:val="00281CAF"/>
    <w:rsid w:val="002823CD"/>
    <w:rsid w:val="00282F80"/>
    <w:rsid w:val="00283615"/>
    <w:rsid w:val="00290D2F"/>
    <w:rsid w:val="0029247D"/>
    <w:rsid w:val="00293590"/>
    <w:rsid w:val="00293E8F"/>
    <w:rsid w:val="00294D79"/>
    <w:rsid w:val="002952EA"/>
    <w:rsid w:val="002972DB"/>
    <w:rsid w:val="00297796"/>
    <w:rsid w:val="002A7724"/>
    <w:rsid w:val="002B07E0"/>
    <w:rsid w:val="002B09E6"/>
    <w:rsid w:val="002B1D85"/>
    <w:rsid w:val="002B3164"/>
    <w:rsid w:val="002B379D"/>
    <w:rsid w:val="002B38A9"/>
    <w:rsid w:val="002B3C37"/>
    <w:rsid w:val="002B3EE8"/>
    <w:rsid w:val="002B47E1"/>
    <w:rsid w:val="002B4979"/>
    <w:rsid w:val="002B53A5"/>
    <w:rsid w:val="002B58CC"/>
    <w:rsid w:val="002B7EC2"/>
    <w:rsid w:val="002C1E6E"/>
    <w:rsid w:val="002C28A3"/>
    <w:rsid w:val="002C45E8"/>
    <w:rsid w:val="002C4638"/>
    <w:rsid w:val="002C4E64"/>
    <w:rsid w:val="002C545F"/>
    <w:rsid w:val="002C5DAE"/>
    <w:rsid w:val="002D0B5D"/>
    <w:rsid w:val="002D1029"/>
    <w:rsid w:val="002D5EC7"/>
    <w:rsid w:val="002D645E"/>
    <w:rsid w:val="002E01DA"/>
    <w:rsid w:val="002E23A0"/>
    <w:rsid w:val="002E2DBC"/>
    <w:rsid w:val="002E3A18"/>
    <w:rsid w:val="002E3A83"/>
    <w:rsid w:val="002E5BB3"/>
    <w:rsid w:val="002F05BB"/>
    <w:rsid w:val="002F17EF"/>
    <w:rsid w:val="002F1CB4"/>
    <w:rsid w:val="002F2711"/>
    <w:rsid w:val="002F33D6"/>
    <w:rsid w:val="002F45A8"/>
    <w:rsid w:val="002F6A52"/>
    <w:rsid w:val="002F73EC"/>
    <w:rsid w:val="002F7DCA"/>
    <w:rsid w:val="00300C35"/>
    <w:rsid w:val="00303831"/>
    <w:rsid w:val="00304021"/>
    <w:rsid w:val="0030444B"/>
    <w:rsid w:val="00305630"/>
    <w:rsid w:val="00310506"/>
    <w:rsid w:val="00310663"/>
    <w:rsid w:val="00311B99"/>
    <w:rsid w:val="003122EE"/>
    <w:rsid w:val="003123DE"/>
    <w:rsid w:val="00315419"/>
    <w:rsid w:val="003161B7"/>
    <w:rsid w:val="00320EEA"/>
    <w:rsid w:val="0032408E"/>
    <w:rsid w:val="003251AF"/>
    <w:rsid w:val="003270A6"/>
    <w:rsid w:val="00331D76"/>
    <w:rsid w:val="0033447B"/>
    <w:rsid w:val="00335100"/>
    <w:rsid w:val="00335202"/>
    <w:rsid w:val="00335E1E"/>
    <w:rsid w:val="00336084"/>
    <w:rsid w:val="003363BC"/>
    <w:rsid w:val="0033790A"/>
    <w:rsid w:val="00340387"/>
    <w:rsid w:val="003417A9"/>
    <w:rsid w:val="00343858"/>
    <w:rsid w:val="00343A58"/>
    <w:rsid w:val="00343C4E"/>
    <w:rsid w:val="00346DF9"/>
    <w:rsid w:val="0034706D"/>
    <w:rsid w:val="00347F67"/>
    <w:rsid w:val="00352FA1"/>
    <w:rsid w:val="003531C9"/>
    <w:rsid w:val="003545F2"/>
    <w:rsid w:val="00355EF0"/>
    <w:rsid w:val="00355FB8"/>
    <w:rsid w:val="00361479"/>
    <w:rsid w:val="00361ADE"/>
    <w:rsid w:val="00361D1C"/>
    <w:rsid w:val="00361E6B"/>
    <w:rsid w:val="0036265A"/>
    <w:rsid w:val="003630AD"/>
    <w:rsid w:val="00363C8D"/>
    <w:rsid w:val="00364765"/>
    <w:rsid w:val="003665BF"/>
    <w:rsid w:val="00370DCF"/>
    <w:rsid w:val="00371F41"/>
    <w:rsid w:val="00373DBA"/>
    <w:rsid w:val="003743BA"/>
    <w:rsid w:val="0037765A"/>
    <w:rsid w:val="003826D1"/>
    <w:rsid w:val="003832A2"/>
    <w:rsid w:val="00387D94"/>
    <w:rsid w:val="0039018E"/>
    <w:rsid w:val="00390579"/>
    <w:rsid w:val="0039227B"/>
    <w:rsid w:val="003927DB"/>
    <w:rsid w:val="00393B6A"/>
    <w:rsid w:val="003A0A1D"/>
    <w:rsid w:val="003A0C5E"/>
    <w:rsid w:val="003A20F9"/>
    <w:rsid w:val="003A2221"/>
    <w:rsid w:val="003A2519"/>
    <w:rsid w:val="003A291C"/>
    <w:rsid w:val="003B0307"/>
    <w:rsid w:val="003B1951"/>
    <w:rsid w:val="003B1F74"/>
    <w:rsid w:val="003B63FD"/>
    <w:rsid w:val="003B67D8"/>
    <w:rsid w:val="003C0851"/>
    <w:rsid w:val="003C2D35"/>
    <w:rsid w:val="003C44EF"/>
    <w:rsid w:val="003C4F35"/>
    <w:rsid w:val="003C5F81"/>
    <w:rsid w:val="003C6E7C"/>
    <w:rsid w:val="003C7C1F"/>
    <w:rsid w:val="003D2F9A"/>
    <w:rsid w:val="003D3AAA"/>
    <w:rsid w:val="003D57C1"/>
    <w:rsid w:val="003E13B9"/>
    <w:rsid w:val="003E2C46"/>
    <w:rsid w:val="003E2D74"/>
    <w:rsid w:val="003E390E"/>
    <w:rsid w:val="003E4CEC"/>
    <w:rsid w:val="003E5106"/>
    <w:rsid w:val="003E580C"/>
    <w:rsid w:val="003E58E4"/>
    <w:rsid w:val="003E69C1"/>
    <w:rsid w:val="003E712B"/>
    <w:rsid w:val="003E7474"/>
    <w:rsid w:val="003E7528"/>
    <w:rsid w:val="003E7ACE"/>
    <w:rsid w:val="00400F54"/>
    <w:rsid w:val="00402249"/>
    <w:rsid w:val="0040484D"/>
    <w:rsid w:val="004067C1"/>
    <w:rsid w:val="00410394"/>
    <w:rsid w:val="004113F6"/>
    <w:rsid w:val="00411468"/>
    <w:rsid w:val="0041486C"/>
    <w:rsid w:val="00417865"/>
    <w:rsid w:val="00420712"/>
    <w:rsid w:val="00422B3B"/>
    <w:rsid w:val="00424C4C"/>
    <w:rsid w:val="00427B57"/>
    <w:rsid w:val="00430B40"/>
    <w:rsid w:val="00432079"/>
    <w:rsid w:val="004342FB"/>
    <w:rsid w:val="00434CED"/>
    <w:rsid w:val="00435201"/>
    <w:rsid w:val="00435A60"/>
    <w:rsid w:val="00436802"/>
    <w:rsid w:val="00437173"/>
    <w:rsid w:val="00437B66"/>
    <w:rsid w:val="00441EA7"/>
    <w:rsid w:val="00442825"/>
    <w:rsid w:val="00444BC1"/>
    <w:rsid w:val="004464E7"/>
    <w:rsid w:val="00446B68"/>
    <w:rsid w:val="00447205"/>
    <w:rsid w:val="00447FDA"/>
    <w:rsid w:val="00452EB6"/>
    <w:rsid w:val="00454120"/>
    <w:rsid w:val="0045626A"/>
    <w:rsid w:val="00461DD7"/>
    <w:rsid w:val="0046520C"/>
    <w:rsid w:val="004666F4"/>
    <w:rsid w:val="00467822"/>
    <w:rsid w:val="00467930"/>
    <w:rsid w:val="0047114F"/>
    <w:rsid w:val="00471FEF"/>
    <w:rsid w:val="00472DD2"/>
    <w:rsid w:val="00474A3D"/>
    <w:rsid w:val="0047537D"/>
    <w:rsid w:val="0047569F"/>
    <w:rsid w:val="00476FBF"/>
    <w:rsid w:val="004771AD"/>
    <w:rsid w:val="004771EF"/>
    <w:rsid w:val="00477952"/>
    <w:rsid w:val="00480E47"/>
    <w:rsid w:val="00482FB0"/>
    <w:rsid w:val="00483A18"/>
    <w:rsid w:val="00483B75"/>
    <w:rsid w:val="00485F23"/>
    <w:rsid w:val="004875AB"/>
    <w:rsid w:val="00490439"/>
    <w:rsid w:val="00491340"/>
    <w:rsid w:val="00491E42"/>
    <w:rsid w:val="00492639"/>
    <w:rsid w:val="00492AA0"/>
    <w:rsid w:val="0049373F"/>
    <w:rsid w:val="00495901"/>
    <w:rsid w:val="00496BEF"/>
    <w:rsid w:val="00497809"/>
    <w:rsid w:val="00497CC9"/>
    <w:rsid w:val="00497DBC"/>
    <w:rsid w:val="004A0140"/>
    <w:rsid w:val="004A0852"/>
    <w:rsid w:val="004A1537"/>
    <w:rsid w:val="004A159F"/>
    <w:rsid w:val="004A43BB"/>
    <w:rsid w:val="004A7AD1"/>
    <w:rsid w:val="004B0F33"/>
    <w:rsid w:val="004B38CC"/>
    <w:rsid w:val="004B3D3E"/>
    <w:rsid w:val="004B58C8"/>
    <w:rsid w:val="004B58E3"/>
    <w:rsid w:val="004B65A5"/>
    <w:rsid w:val="004B776B"/>
    <w:rsid w:val="004B79A5"/>
    <w:rsid w:val="004B7A3B"/>
    <w:rsid w:val="004C120C"/>
    <w:rsid w:val="004C1A3A"/>
    <w:rsid w:val="004C1E61"/>
    <w:rsid w:val="004C2E27"/>
    <w:rsid w:val="004C2FC2"/>
    <w:rsid w:val="004C3D8B"/>
    <w:rsid w:val="004C5F87"/>
    <w:rsid w:val="004C6041"/>
    <w:rsid w:val="004C7EC0"/>
    <w:rsid w:val="004D203A"/>
    <w:rsid w:val="004D2BC5"/>
    <w:rsid w:val="004D2C6C"/>
    <w:rsid w:val="004D3739"/>
    <w:rsid w:val="004D4E03"/>
    <w:rsid w:val="004D5397"/>
    <w:rsid w:val="004D614A"/>
    <w:rsid w:val="004D6798"/>
    <w:rsid w:val="004D7014"/>
    <w:rsid w:val="004E00FA"/>
    <w:rsid w:val="004E0D38"/>
    <w:rsid w:val="004E1C3E"/>
    <w:rsid w:val="004E4D92"/>
    <w:rsid w:val="004E5496"/>
    <w:rsid w:val="004E651E"/>
    <w:rsid w:val="004E74CB"/>
    <w:rsid w:val="004E7EEB"/>
    <w:rsid w:val="004F1764"/>
    <w:rsid w:val="004F2CC5"/>
    <w:rsid w:val="004F4184"/>
    <w:rsid w:val="004F5C4E"/>
    <w:rsid w:val="00500216"/>
    <w:rsid w:val="0050215E"/>
    <w:rsid w:val="005025FB"/>
    <w:rsid w:val="0051058F"/>
    <w:rsid w:val="00511D28"/>
    <w:rsid w:val="00513E0E"/>
    <w:rsid w:val="0051455A"/>
    <w:rsid w:val="0051457E"/>
    <w:rsid w:val="005146BD"/>
    <w:rsid w:val="00514C2D"/>
    <w:rsid w:val="0051554E"/>
    <w:rsid w:val="00515B4B"/>
    <w:rsid w:val="00516F39"/>
    <w:rsid w:val="005204BD"/>
    <w:rsid w:val="005204D7"/>
    <w:rsid w:val="00521950"/>
    <w:rsid w:val="00521995"/>
    <w:rsid w:val="005228F0"/>
    <w:rsid w:val="00526320"/>
    <w:rsid w:val="00527202"/>
    <w:rsid w:val="00527CEB"/>
    <w:rsid w:val="005300AF"/>
    <w:rsid w:val="00530353"/>
    <w:rsid w:val="005304B6"/>
    <w:rsid w:val="0053193B"/>
    <w:rsid w:val="0053318C"/>
    <w:rsid w:val="005332F3"/>
    <w:rsid w:val="00533DE1"/>
    <w:rsid w:val="00535669"/>
    <w:rsid w:val="00535AE0"/>
    <w:rsid w:val="00535E0F"/>
    <w:rsid w:val="005368A7"/>
    <w:rsid w:val="00536940"/>
    <w:rsid w:val="00540622"/>
    <w:rsid w:val="005418ED"/>
    <w:rsid w:val="00541DDA"/>
    <w:rsid w:val="00543442"/>
    <w:rsid w:val="0054417C"/>
    <w:rsid w:val="00545D21"/>
    <w:rsid w:val="00547CD3"/>
    <w:rsid w:val="00550FB0"/>
    <w:rsid w:val="0055334B"/>
    <w:rsid w:val="005549B2"/>
    <w:rsid w:val="00556787"/>
    <w:rsid w:val="00560921"/>
    <w:rsid w:val="00562FDF"/>
    <w:rsid w:val="005645C1"/>
    <w:rsid w:val="00564F0B"/>
    <w:rsid w:val="00567304"/>
    <w:rsid w:val="00567C39"/>
    <w:rsid w:val="00570023"/>
    <w:rsid w:val="0057014E"/>
    <w:rsid w:val="00570F1B"/>
    <w:rsid w:val="005710B8"/>
    <w:rsid w:val="00573B2B"/>
    <w:rsid w:val="00574348"/>
    <w:rsid w:val="00574F2D"/>
    <w:rsid w:val="005753CA"/>
    <w:rsid w:val="00575ADA"/>
    <w:rsid w:val="0057664F"/>
    <w:rsid w:val="00580145"/>
    <w:rsid w:val="00580406"/>
    <w:rsid w:val="005814B9"/>
    <w:rsid w:val="00581FAA"/>
    <w:rsid w:val="0058277E"/>
    <w:rsid w:val="00582966"/>
    <w:rsid w:val="0058322D"/>
    <w:rsid w:val="00583B84"/>
    <w:rsid w:val="005849D9"/>
    <w:rsid w:val="0058717B"/>
    <w:rsid w:val="00587BE5"/>
    <w:rsid w:val="00593683"/>
    <w:rsid w:val="0059447A"/>
    <w:rsid w:val="00594EF6"/>
    <w:rsid w:val="00596576"/>
    <w:rsid w:val="00596D6D"/>
    <w:rsid w:val="00597225"/>
    <w:rsid w:val="00597BA8"/>
    <w:rsid w:val="005A0BA9"/>
    <w:rsid w:val="005A0C96"/>
    <w:rsid w:val="005A123C"/>
    <w:rsid w:val="005A1F13"/>
    <w:rsid w:val="005A1F43"/>
    <w:rsid w:val="005A380A"/>
    <w:rsid w:val="005A57D3"/>
    <w:rsid w:val="005A6346"/>
    <w:rsid w:val="005A6CC2"/>
    <w:rsid w:val="005A7251"/>
    <w:rsid w:val="005B0A45"/>
    <w:rsid w:val="005B2AB8"/>
    <w:rsid w:val="005B3A5A"/>
    <w:rsid w:val="005B3B2D"/>
    <w:rsid w:val="005B3B35"/>
    <w:rsid w:val="005B5FF2"/>
    <w:rsid w:val="005B6753"/>
    <w:rsid w:val="005B70C2"/>
    <w:rsid w:val="005C11E7"/>
    <w:rsid w:val="005C126E"/>
    <w:rsid w:val="005C1F80"/>
    <w:rsid w:val="005C3414"/>
    <w:rsid w:val="005C43C6"/>
    <w:rsid w:val="005C45A4"/>
    <w:rsid w:val="005C4BED"/>
    <w:rsid w:val="005C4EC6"/>
    <w:rsid w:val="005C5826"/>
    <w:rsid w:val="005C6C18"/>
    <w:rsid w:val="005D1E20"/>
    <w:rsid w:val="005D41D5"/>
    <w:rsid w:val="005D4687"/>
    <w:rsid w:val="005D70E2"/>
    <w:rsid w:val="005D7FC0"/>
    <w:rsid w:val="005E00FD"/>
    <w:rsid w:val="005E16C8"/>
    <w:rsid w:val="005E272A"/>
    <w:rsid w:val="005E6369"/>
    <w:rsid w:val="005E7AFD"/>
    <w:rsid w:val="005F0510"/>
    <w:rsid w:val="005F1BFA"/>
    <w:rsid w:val="005F2878"/>
    <w:rsid w:val="005F3A44"/>
    <w:rsid w:val="005F43D7"/>
    <w:rsid w:val="005F675F"/>
    <w:rsid w:val="005F694B"/>
    <w:rsid w:val="005F7120"/>
    <w:rsid w:val="00600775"/>
    <w:rsid w:val="00600E3D"/>
    <w:rsid w:val="0060293D"/>
    <w:rsid w:val="00603E28"/>
    <w:rsid w:val="006052E7"/>
    <w:rsid w:val="00605928"/>
    <w:rsid w:val="006075E5"/>
    <w:rsid w:val="006105DC"/>
    <w:rsid w:val="00611B36"/>
    <w:rsid w:val="00611F6B"/>
    <w:rsid w:val="0061336B"/>
    <w:rsid w:val="00613EC4"/>
    <w:rsid w:val="00615032"/>
    <w:rsid w:val="00616811"/>
    <w:rsid w:val="006202A0"/>
    <w:rsid w:val="00622ABE"/>
    <w:rsid w:val="00622B21"/>
    <w:rsid w:val="00622C0B"/>
    <w:rsid w:val="006231E2"/>
    <w:rsid w:val="0062335F"/>
    <w:rsid w:val="0062548A"/>
    <w:rsid w:val="0062671B"/>
    <w:rsid w:val="00627227"/>
    <w:rsid w:val="006275FA"/>
    <w:rsid w:val="00627F75"/>
    <w:rsid w:val="00631B38"/>
    <w:rsid w:val="0063394F"/>
    <w:rsid w:val="00633A4F"/>
    <w:rsid w:val="00634932"/>
    <w:rsid w:val="00635956"/>
    <w:rsid w:val="006371C4"/>
    <w:rsid w:val="00637553"/>
    <w:rsid w:val="00641D79"/>
    <w:rsid w:val="006422FC"/>
    <w:rsid w:val="00642F52"/>
    <w:rsid w:val="00643CDF"/>
    <w:rsid w:val="0064429A"/>
    <w:rsid w:val="0064534A"/>
    <w:rsid w:val="00650237"/>
    <w:rsid w:val="00650AF7"/>
    <w:rsid w:val="00651676"/>
    <w:rsid w:val="00652B3D"/>
    <w:rsid w:val="00654491"/>
    <w:rsid w:val="00656A6D"/>
    <w:rsid w:val="00657FCC"/>
    <w:rsid w:val="00660309"/>
    <w:rsid w:val="0066120D"/>
    <w:rsid w:val="006623ED"/>
    <w:rsid w:val="00663063"/>
    <w:rsid w:val="006630FE"/>
    <w:rsid w:val="00664D0B"/>
    <w:rsid w:val="006654AB"/>
    <w:rsid w:val="00670A27"/>
    <w:rsid w:val="00672D2F"/>
    <w:rsid w:val="00672D3F"/>
    <w:rsid w:val="00675A93"/>
    <w:rsid w:val="00677667"/>
    <w:rsid w:val="00677CB5"/>
    <w:rsid w:val="006824AD"/>
    <w:rsid w:val="006831E9"/>
    <w:rsid w:val="00683729"/>
    <w:rsid w:val="00685C90"/>
    <w:rsid w:val="00686FE4"/>
    <w:rsid w:val="00691360"/>
    <w:rsid w:val="006935E4"/>
    <w:rsid w:val="00694692"/>
    <w:rsid w:val="006948A9"/>
    <w:rsid w:val="00694E77"/>
    <w:rsid w:val="0069580E"/>
    <w:rsid w:val="00696F96"/>
    <w:rsid w:val="00696FFF"/>
    <w:rsid w:val="00697044"/>
    <w:rsid w:val="00697E0F"/>
    <w:rsid w:val="00697F89"/>
    <w:rsid w:val="006A0402"/>
    <w:rsid w:val="006A14AF"/>
    <w:rsid w:val="006A1DC8"/>
    <w:rsid w:val="006A1FCA"/>
    <w:rsid w:val="006A2D1B"/>
    <w:rsid w:val="006A2EF5"/>
    <w:rsid w:val="006A30C8"/>
    <w:rsid w:val="006A446B"/>
    <w:rsid w:val="006A4E76"/>
    <w:rsid w:val="006A6DF2"/>
    <w:rsid w:val="006A76B0"/>
    <w:rsid w:val="006A77E5"/>
    <w:rsid w:val="006B0DFC"/>
    <w:rsid w:val="006B2638"/>
    <w:rsid w:val="006B2726"/>
    <w:rsid w:val="006B4387"/>
    <w:rsid w:val="006B7330"/>
    <w:rsid w:val="006C07E0"/>
    <w:rsid w:val="006C0D3D"/>
    <w:rsid w:val="006C1838"/>
    <w:rsid w:val="006C4F0D"/>
    <w:rsid w:val="006D42CB"/>
    <w:rsid w:val="006D5320"/>
    <w:rsid w:val="006D54CB"/>
    <w:rsid w:val="006D5B76"/>
    <w:rsid w:val="006D5BAE"/>
    <w:rsid w:val="006D5DC0"/>
    <w:rsid w:val="006D6806"/>
    <w:rsid w:val="006D7026"/>
    <w:rsid w:val="006D7384"/>
    <w:rsid w:val="006E18DA"/>
    <w:rsid w:val="006E2E46"/>
    <w:rsid w:val="006E3AE2"/>
    <w:rsid w:val="006E4214"/>
    <w:rsid w:val="006E56E6"/>
    <w:rsid w:val="006E76F6"/>
    <w:rsid w:val="006E7D50"/>
    <w:rsid w:val="006F01BF"/>
    <w:rsid w:val="006F11AE"/>
    <w:rsid w:val="006F1B73"/>
    <w:rsid w:val="006F291A"/>
    <w:rsid w:val="006F2F87"/>
    <w:rsid w:val="006F3222"/>
    <w:rsid w:val="006F3584"/>
    <w:rsid w:val="006F5479"/>
    <w:rsid w:val="006F64CA"/>
    <w:rsid w:val="006F70CA"/>
    <w:rsid w:val="00703A62"/>
    <w:rsid w:val="00704604"/>
    <w:rsid w:val="00706479"/>
    <w:rsid w:val="00706CBE"/>
    <w:rsid w:val="00710EDF"/>
    <w:rsid w:val="007118EA"/>
    <w:rsid w:val="007123DD"/>
    <w:rsid w:val="007142E2"/>
    <w:rsid w:val="007212C7"/>
    <w:rsid w:val="00722D61"/>
    <w:rsid w:val="00723216"/>
    <w:rsid w:val="00723D3B"/>
    <w:rsid w:val="00727DF4"/>
    <w:rsid w:val="00730830"/>
    <w:rsid w:val="00731502"/>
    <w:rsid w:val="00731883"/>
    <w:rsid w:val="00731DC0"/>
    <w:rsid w:val="00734E5F"/>
    <w:rsid w:val="0073651B"/>
    <w:rsid w:val="00740131"/>
    <w:rsid w:val="00741593"/>
    <w:rsid w:val="007436FE"/>
    <w:rsid w:val="00743D26"/>
    <w:rsid w:val="007477DC"/>
    <w:rsid w:val="007509BE"/>
    <w:rsid w:val="007536E5"/>
    <w:rsid w:val="0075631B"/>
    <w:rsid w:val="00762377"/>
    <w:rsid w:val="007627E2"/>
    <w:rsid w:val="0076303C"/>
    <w:rsid w:val="00763464"/>
    <w:rsid w:val="00764E2F"/>
    <w:rsid w:val="0076656D"/>
    <w:rsid w:val="0077004F"/>
    <w:rsid w:val="00770F76"/>
    <w:rsid w:val="00770FF9"/>
    <w:rsid w:val="00771630"/>
    <w:rsid w:val="00773187"/>
    <w:rsid w:val="007738B6"/>
    <w:rsid w:val="00774B1C"/>
    <w:rsid w:val="0077529A"/>
    <w:rsid w:val="007755DD"/>
    <w:rsid w:val="007757A1"/>
    <w:rsid w:val="00783EF7"/>
    <w:rsid w:val="00783F9D"/>
    <w:rsid w:val="00784201"/>
    <w:rsid w:val="0078559B"/>
    <w:rsid w:val="00786D05"/>
    <w:rsid w:val="0079012D"/>
    <w:rsid w:val="00790163"/>
    <w:rsid w:val="0079248A"/>
    <w:rsid w:val="007928E8"/>
    <w:rsid w:val="007928FA"/>
    <w:rsid w:val="00793148"/>
    <w:rsid w:val="00796181"/>
    <w:rsid w:val="0079671A"/>
    <w:rsid w:val="0079681D"/>
    <w:rsid w:val="007A092B"/>
    <w:rsid w:val="007A0D28"/>
    <w:rsid w:val="007A12B4"/>
    <w:rsid w:val="007A1438"/>
    <w:rsid w:val="007A50FA"/>
    <w:rsid w:val="007A51C4"/>
    <w:rsid w:val="007A62D5"/>
    <w:rsid w:val="007A6589"/>
    <w:rsid w:val="007A7906"/>
    <w:rsid w:val="007B1190"/>
    <w:rsid w:val="007B221A"/>
    <w:rsid w:val="007B42B6"/>
    <w:rsid w:val="007B6D86"/>
    <w:rsid w:val="007C1884"/>
    <w:rsid w:val="007C446A"/>
    <w:rsid w:val="007C4DEB"/>
    <w:rsid w:val="007C5820"/>
    <w:rsid w:val="007C5CD1"/>
    <w:rsid w:val="007C6624"/>
    <w:rsid w:val="007C6799"/>
    <w:rsid w:val="007C6A4A"/>
    <w:rsid w:val="007C7795"/>
    <w:rsid w:val="007C7EFD"/>
    <w:rsid w:val="007D308D"/>
    <w:rsid w:val="007D3ABC"/>
    <w:rsid w:val="007D4C03"/>
    <w:rsid w:val="007D63A8"/>
    <w:rsid w:val="007D6617"/>
    <w:rsid w:val="007D7F07"/>
    <w:rsid w:val="007D7F8B"/>
    <w:rsid w:val="007E01BF"/>
    <w:rsid w:val="007E131F"/>
    <w:rsid w:val="007E3BA9"/>
    <w:rsid w:val="007E3EB9"/>
    <w:rsid w:val="007E5486"/>
    <w:rsid w:val="007E600A"/>
    <w:rsid w:val="007F14C2"/>
    <w:rsid w:val="007F39F9"/>
    <w:rsid w:val="007F4964"/>
    <w:rsid w:val="007F6475"/>
    <w:rsid w:val="007F68E7"/>
    <w:rsid w:val="007F781F"/>
    <w:rsid w:val="007F7B02"/>
    <w:rsid w:val="007F7C69"/>
    <w:rsid w:val="008012CC"/>
    <w:rsid w:val="00801C89"/>
    <w:rsid w:val="00805626"/>
    <w:rsid w:val="008061CA"/>
    <w:rsid w:val="008068A4"/>
    <w:rsid w:val="008077A7"/>
    <w:rsid w:val="00812375"/>
    <w:rsid w:val="00812395"/>
    <w:rsid w:val="00812B10"/>
    <w:rsid w:val="008130C6"/>
    <w:rsid w:val="00813F8A"/>
    <w:rsid w:val="008154CA"/>
    <w:rsid w:val="00815904"/>
    <w:rsid w:val="00815A05"/>
    <w:rsid w:val="00816157"/>
    <w:rsid w:val="00817127"/>
    <w:rsid w:val="00817988"/>
    <w:rsid w:val="00817B6B"/>
    <w:rsid w:val="008211EE"/>
    <w:rsid w:val="0082249F"/>
    <w:rsid w:val="00823A3F"/>
    <w:rsid w:val="00826AF8"/>
    <w:rsid w:val="00827C0D"/>
    <w:rsid w:val="00827D56"/>
    <w:rsid w:val="00830F97"/>
    <w:rsid w:val="0083250D"/>
    <w:rsid w:val="00832DC6"/>
    <w:rsid w:val="008332E8"/>
    <w:rsid w:val="008332F8"/>
    <w:rsid w:val="00833432"/>
    <w:rsid w:val="0083534F"/>
    <w:rsid w:val="008362C6"/>
    <w:rsid w:val="00837266"/>
    <w:rsid w:val="0083742E"/>
    <w:rsid w:val="008376F2"/>
    <w:rsid w:val="008404FE"/>
    <w:rsid w:val="00841480"/>
    <w:rsid w:val="008431DA"/>
    <w:rsid w:val="00843293"/>
    <w:rsid w:val="008444A3"/>
    <w:rsid w:val="00845C69"/>
    <w:rsid w:val="00845C6A"/>
    <w:rsid w:val="00845F8E"/>
    <w:rsid w:val="00847134"/>
    <w:rsid w:val="008474AF"/>
    <w:rsid w:val="00847C19"/>
    <w:rsid w:val="00850214"/>
    <w:rsid w:val="00851437"/>
    <w:rsid w:val="00851B22"/>
    <w:rsid w:val="0085210C"/>
    <w:rsid w:val="0085311A"/>
    <w:rsid w:val="00854510"/>
    <w:rsid w:val="008554D0"/>
    <w:rsid w:val="00855942"/>
    <w:rsid w:val="0085621A"/>
    <w:rsid w:val="00860279"/>
    <w:rsid w:val="008608A9"/>
    <w:rsid w:val="00860A67"/>
    <w:rsid w:val="00861384"/>
    <w:rsid w:val="008613EA"/>
    <w:rsid w:val="00863838"/>
    <w:rsid w:val="0086557B"/>
    <w:rsid w:val="008656BF"/>
    <w:rsid w:val="0086607D"/>
    <w:rsid w:val="00866973"/>
    <w:rsid w:val="00871929"/>
    <w:rsid w:val="00871A80"/>
    <w:rsid w:val="008729CD"/>
    <w:rsid w:val="00872EFF"/>
    <w:rsid w:val="008758C4"/>
    <w:rsid w:val="00875963"/>
    <w:rsid w:val="008774FE"/>
    <w:rsid w:val="00877ADB"/>
    <w:rsid w:val="00877DE7"/>
    <w:rsid w:val="0088032B"/>
    <w:rsid w:val="00880718"/>
    <w:rsid w:val="0088425D"/>
    <w:rsid w:val="00885DF7"/>
    <w:rsid w:val="00887393"/>
    <w:rsid w:val="00887FE6"/>
    <w:rsid w:val="008909AF"/>
    <w:rsid w:val="00890FBD"/>
    <w:rsid w:val="0089176E"/>
    <w:rsid w:val="00891821"/>
    <w:rsid w:val="0089244B"/>
    <w:rsid w:val="0089423A"/>
    <w:rsid w:val="0089480C"/>
    <w:rsid w:val="00894CAC"/>
    <w:rsid w:val="008964CE"/>
    <w:rsid w:val="008975C9"/>
    <w:rsid w:val="00897DFB"/>
    <w:rsid w:val="008A09CA"/>
    <w:rsid w:val="008A0BB8"/>
    <w:rsid w:val="008A16FD"/>
    <w:rsid w:val="008A2CE0"/>
    <w:rsid w:val="008A36FE"/>
    <w:rsid w:val="008A4195"/>
    <w:rsid w:val="008A52A7"/>
    <w:rsid w:val="008A6F97"/>
    <w:rsid w:val="008A7324"/>
    <w:rsid w:val="008B0E8D"/>
    <w:rsid w:val="008B28A3"/>
    <w:rsid w:val="008B3CBE"/>
    <w:rsid w:val="008B4651"/>
    <w:rsid w:val="008B4D0A"/>
    <w:rsid w:val="008B5264"/>
    <w:rsid w:val="008B58EE"/>
    <w:rsid w:val="008B6C24"/>
    <w:rsid w:val="008B7A1C"/>
    <w:rsid w:val="008B7AB8"/>
    <w:rsid w:val="008C1A11"/>
    <w:rsid w:val="008C1D79"/>
    <w:rsid w:val="008C54D0"/>
    <w:rsid w:val="008C6767"/>
    <w:rsid w:val="008C77BD"/>
    <w:rsid w:val="008D0176"/>
    <w:rsid w:val="008D0AF1"/>
    <w:rsid w:val="008D1180"/>
    <w:rsid w:val="008D15C4"/>
    <w:rsid w:val="008D1851"/>
    <w:rsid w:val="008D1EF0"/>
    <w:rsid w:val="008D37C1"/>
    <w:rsid w:val="008D3A86"/>
    <w:rsid w:val="008D47D8"/>
    <w:rsid w:val="008D55D6"/>
    <w:rsid w:val="008D595A"/>
    <w:rsid w:val="008D6C65"/>
    <w:rsid w:val="008D722B"/>
    <w:rsid w:val="008D7425"/>
    <w:rsid w:val="008D744B"/>
    <w:rsid w:val="008E03C4"/>
    <w:rsid w:val="008E252B"/>
    <w:rsid w:val="008E308D"/>
    <w:rsid w:val="008E36AF"/>
    <w:rsid w:val="008E45BD"/>
    <w:rsid w:val="008E4FC5"/>
    <w:rsid w:val="008E79C1"/>
    <w:rsid w:val="008F02F3"/>
    <w:rsid w:val="008F06E7"/>
    <w:rsid w:val="008F0A31"/>
    <w:rsid w:val="008F0B20"/>
    <w:rsid w:val="008F14FA"/>
    <w:rsid w:val="008F2F5E"/>
    <w:rsid w:val="008F3409"/>
    <w:rsid w:val="008F50E9"/>
    <w:rsid w:val="008F5DDE"/>
    <w:rsid w:val="008F613D"/>
    <w:rsid w:val="008F65B9"/>
    <w:rsid w:val="009047BC"/>
    <w:rsid w:val="00904DDE"/>
    <w:rsid w:val="00904F6C"/>
    <w:rsid w:val="009051C7"/>
    <w:rsid w:val="009055CF"/>
    <w:rsid w:val="00905B77"/>
    <w:rsid w:val="00906B62"/>
    <w:rsid w:val="00907715"/>
    <w:rsid w:val="00907E88"/>
    <w:rsid w:val="009107AD"/>
    <w:rsid w:val="0091272C"/>
    <w:rsid w:val="00912B4E"/>
    <w:rsid w:val="00912C77"/>
    <w:rsid w:val="00913AB1"/>
    <w:rsid w:val="00914A0A"/>
    <w:rsid w:val="00916545"/>
    <w:rsid w:val="0091746A"/>
    <w:rsid w:val="00922EEF"/>
    <w:rsid w:val="00923073"/>
    <w:rsid w:val="0092358E"/>
    <w:rsid w:val="00923EAF"/>
    <w:rsid w:val="00924D1E"/>
    <w:rsid w:val="00925496"/>
    <w:rsid w:val="009277F8"/>
    <w:rsid w:val="00927BA6"/>
    <w:rsid w:val="0093053E"/>
    <w:rsid w:val="00932B92"/>
    <w:rsid w:val="00933676"/>
    <w:rsid w:val="009348EE"/>
    <w:rsid w:val="00937FC3"/>
    <w:rsid w:val="009402C8"/>
    <w:rsid w:val="00940C8F"/>
    <w:rsid w:val="00940F38"/>
    <w:rsid w:val="009417B1"/>
    <w:rsid w:val="00941A8E"/>
    <w:rsid w:val="00945EF7"/>
    <w:rsid w:val="009467EA"/>
    <w:rsid w:val="00947131"/>
    <w:rsid w:val="00947437"/>
    <w:rsid w:val="009509EB"/>
    <w:rsid w:val="00952749"/>
    <w:rsid w:val="00952959"/>
    <w:rsid w:val="0095448E"/>
    <w:rsid w:val="0095518E"/>
    <w:rsid w:val="009572E5"/>
    <w:rsid w:val="00960E76"/>
    <w:rsid w:val="00961E5A"/>
    <w:rsid w:val="00963D5F"/>
    <w:rsid w:val="00964F04"/>
    <w:rsid w:val="00965346"/>
    <w:rsid w:val="00966E83"/>
    <w:rsid w:val="009717CD"/>
    <w:rsid w:val="00971C4D"/>
    <w:rsid w:val="00972967"/>
    <w:rsid w:val="00975B5E"/>
    <w:rsid w:val="00977372"/>
    <w:rsid w:val="00977F92"/>
    <w:rsid w:val="009807EE"/>
    <w:rsid w:val="00980815"/>
    <w:rsid w:val="00983644"/>
    <w:rsid w:val="009842D5"/>
    <w:rsid w:val="00985E00"/>
    <w:rsid w:val="00986459"/>
    <w:rsid w:val="009864DF"/>
    <w:rsid w:val="00990530"/>
    <w:rsid w:val="009962AA"/>
    <w:rsid w:val="0099692E"/>
    <w:rsid w:val="009A08AA"/>
    <w:rsid w:val="009A18F8"/>
    <w:rsid w:val="009A391B"/>
    <w:rsid w:val="009A5111"/>
    <w:rsid w:val="009A5F41"/>
    <w:rsid w:val="009A613C"/>
    <w:rsid w:val="009A651F"/>
    <w:rsid w:val="009A7FA1"/>
    <w:rsid w:val="009B0255"/>
    <w:rsid w:val="009B077C"/>
    <w:rsid w:val="009B0B7C"/>
    <w:rsid w:val="009B35B3"/>
    <w:rsid w:val="009B3C12"/>
    <w:rsid w:val="009B496A"/>
    <w:rsid w:val="009B646D"/>
    <w:rsid w:val="009B6BD9"/>
    <w:rsid w:val="009B7B7F"/>
    <w:rsid w:val="009C26FE"/>
    <w:rsid w:val="009C2B71"/>
    <w:rsid w:val="009C3627"/>
    <w:rsid w:val="009C5AD5"/>
    <w:rsid w:val="009C62BB"/>
    <w:rsid w:val="009C6657"/>
    <w:rsid w:val="009C7539"/>
    <w:rsid w:val="009D212A"/>
    <w:rsid w:val="009D40D6"/>
    <w:rsid w:val="009D4153"/>
    <w:rsid w:val="009D45FB"/>
    <w:rsid w:val="009D52D0"/>
    <w:rsid w:val="009D651A"/>
    <w:rsid w:val="009E0A58"/>
    <w:rsid w:val="009E0DCC"/>
    <w:rsid w:val="009E33DF"/>
    <w:rsid w:val="009E3DD4"/>
    <w:rsid w:val="009E5358"/>
    <w:rsid w:val="009E63AD"/>
    <w:rsid w:val="009F1096"/>
    <w:rsid w:val="009F239A"/>
    <w:rsid w:val="009F3C41"/>
    <w:rsid w:val="009F4B5A"/>
    <w:rsid w:val="009F6CF6"/>
    <w:rsid w:val="009F71D8"/>
    <w:rsid w:val="009F7D61"/>
    <w:rsid w:val="00A03AC7"/>
    <w:rsid w:val="00A04112"/>
    <w:rsid w:val="00A05879"/>
    <w:rsid w:val="00A1097B"/>
    <w:rsid w:val="00A10FBB"/>
    <w:rsid w:val="00A1353D"/>
    <w:rsid w:val="00A14EB4"/>
    <w:rsid w:val="00A14F22"/>
    <w:rsid w:val="00A1668E"/>
    <w:rsid w:val="00A1674C"/>
    <w:rsid w:val="00A17C67"/>
    <w:rsid w:val="00A17F03"/>
    <w:rsid w:val="00A20DD9"/>
    <w:rsid w:val="00A22005"/>
    <w:rsid w:val="00A2235B"/>
    <w:rsid w:val="00A2565B"/>
    <w:rsid w:val="00A27118"/>
    <w:rsid w:val="00A3098A"/>
    <w:rsid w:val="00A31104"/>
    <w:rsid w:val="00A34015"/>
    <w:rsid w:val="00A34E04"/>
    <w:rsid w:val="00A35D35"/>
    <w:rsid w:val="00A409DA"/>
    <w:rsid w:val="00A40E79"/>
    <w:rsid w:val="00A416ED"/>
    <w:rsid w:val="00A42833"/>
    <w:rsid w:val="00A42A49"/>
    <w:rsid w:val="00A436FC"/>
    <w:rsid w:val="00A44455"/>
    <w:rsid w:val="00A44DD8"/>
    <w:rsid w:val="00A4582B"/>
    <w:rsid w:val="00A4780B"/>
    <w:rsid w:val="00A47C08"/>
    <w:rsid w:val="00A50320"/>
    <w:rsid w:val="00A515CF"/>
    <w:rsid w:val="00A51933"/>
    <w:rsid w:val="00A52022"/>
    <w:rsid w:val="00A52C0C"/>
    <w:rsid w:val="00A53F58"/>
    <w:rsid w:val="00A54794"/>
    <w:rsid w:val="00A553A8"/>
    <w:rsid w:val="00A55783"/>
    <w:rsid w:val="00A562B2"/>
    <w:rsid w:val="00A56CC6"/>
    <w:rsid w:val="00A5755E"/>
    <w:rsid w:val="00A57587"/>
    <w:rsid w:val="00A57836"/>
    <w:rsid w:val="00A57D2C"/>
    <w:rsid w:val="00A633B2"/>
    <w:rsid w:val="00A639BB"/>
    <w:rsid w:val="00A65609"/>
    <w:rsid w:val="00A66759"/>
    <w:rsid w:val="00A667E3"/>
    <w:rsid w:val="00A673FC"/>
    <w:rsid w:val="00A70003"/>
    <w:rsid w:val="00A73ABF"/>
    <w:rsid w:val="00A75172"/>
    <w:rsid w:val="00A76FF0"/>
    <w:rsid w:val="00A81A50"/>
    <w:rsid w:val="00A83464"/>
    <w:rsid w:val="00A840CF"/>
    <w:rsid w:val="00A840EF"/>
    <w:rsid w:val="00A84BAD"/>
    <w:rsid w:val="00A84BD0"/>
    <w:rsid w:val="00A869F0"/>
    <w:rsid w:val="00A877F3"/>
    <w:rsid w:val="00A87D72"/>
    <w:rsid w:val="00A9041E"/>
    <w:rsid w:val="00A90437"/>
    <w:rsid w:val="00A909B0"/>
    <w:rsid w:val="00A91478"/>
    <w:rsid w:val="00A91FD9"/>
    <w:rsid w:val="00A92AF4"/>
    <w:rsid w:val="00A930A9"/>
    <w:rsid w:val="00A93340"/>
    <w:rsid w:val="00A935AB"/>
    <w:rsid w:val="00A95A3D"/>
    <w:rsid w:val="00A96898"/>
    <w:rsid w:val="00A97BE6"/>
    <w:rsid w:val="00AA00A4"/>
    <w:rsid w:val="00AA1327"/>
    <w:rsid w:val="00AA1657"/>
    <w:rsid w:val="00AA3BEA"/>
    <w:rsid w:val="00AA684A"/>
    <w:rsid w:val="00AA716D"/>
    <w:rsid w:val="00AB1BE6"/>
    <w:rsid w:val="00AB2142"/>
    <w:rsid w:val="00AB2A07"/>
    <w:rsid w:val="00AB35F6"/>
    <w:rsid w:val="00AB5133"/>
    <w:rsid w:val="00AB5DAF"/>
    <w:rsid w:val="00AB5F76"/>
    <w:rsid w:val="00AB7164"/>
    <w:rsid w:val="00AB71B4"/>
    <w:rsid w:val="00AB7F68"/>
    <w:rsid w:val="00AC194F"/>
    <w:rsid w:val="00AC1EE6"/>
    <w:rsid w:val="00AC2227"/>
    <w:rsid w:val="00AC265A"/>
    <w:rsid w:val="00AC2C1E"/>
    <w:rsid w:val="00AC2E0A"/>
    <w:rsid w:val="00AC37A2"/>
    <w:rsid w:val="00AC3C5B"/>
    <w:rsid w:val="00AC4829"/>
    <w:rsid w:val="00AC61C5"/>
    <w:rsid w:val="00AC62DB"/>
    <w:rsid w:val="00AC6F94"/>
    <w:rsid w:val="00AC7F6A"/>
    <w:rsid w:val="00AD0144"/>
    <w:rsid w:val="00AD0602"/>
    <w:rsid w:val="00AD1163"/>
    <w:rsid w:val="00AD128C"/>
    <w:rsid w:val="00AD1B33"/>
    <w:rsid w:val="00AD33A1"/>
    <w:rsid w:val="00AD3DD3"/>
    <w:rsid w:val="00AD47F1"/>
    <w:rsid w:val="00AD7C97"/>
    <w:rsid w:val="00AE06E4"/>
    <w:rsid w:val="00AE1547"/>
    <w:rsid w:val="00AE455E"/>
    <w:rsid w:val="00AE4886"/>
    <w:rsid w:val="00AE58FD"/>
    <w:rsid w:val="00AE5F1E"/>
    <w:rsid w:val="00AE6A51"/>
    <w:rsid w:val="00AE72A2"/>
    <w:rsid w:val="00AE7B83"/>
    <w:rsid w:val="00AF0634"/>
    <w:rsid w:val="00AF0CD0"/>
    <w:rsid w:val="00AF1424"/>
    <w:rsid w:val="00AF1B28"/>
    <w:rsid w:val="00AF232C"/>
    <w:rsid w:val="00AF258C"/>
    <w:rsid w:val="00AF2C62"/>
    <w:rsid w:val="00AF352D"/>
    <w:rsid w:val="00AF414F"/>
    <w:rsid w:val="00AF4636"/>
    <w:rsid w:val="00AF548A"/>
    <w:rsid w:val="00AF55AD"/>
    <w:rsid w:val="00AF63AA"/>
    <w:rsid w:val="00AF6F9A"/>
    <w:rsid w:val="00AF7E54"/>
    <w:rsid w:val="00B00076"/>
    <w:rsid w:val="00B0011F"/>
    <w:rsid w:val="00B001EA"/>
    <w:rsid w:val="00B00406"/>
    <w:rsid w:val="00B02931"/>
    <w:rsid w:val="00B037CC"/>
    <w:rsid w:val="00B03B1A"/>
    <w:rsid w:val="00B04998"/>
    <w:rsid w:val="00B05704"/>
    <w:rsid w:val="00B058C4"/>
    <w:rsid w:val="00B0729B"/>
    <w:rsid w:val="00B07832"/>
    <w:rsid w:val="00B07B4A"/>
    <w:rsid w:val="00B11343"/>
    <w:rsid w:val="00B116A8"/>
    <w:rsid w:val="00B140F7"/>
    <w:rsid w:val="00B148AD"/>
    <w:rsid w:val="00B155B4"/>
    <w:rsid w:val="00B15A41"/>
    <w:rsid w:val="00B1608B"/>
    <w:rsid w:val="00B208D2"/>
    <w:rsid w:val="00B21A41"/>
    <w:rsid w:val="00B224D6"/>
    <w:rsid w:val="00B2489E"/>
    <w:rsid w:val="00B250F2"/>
    <w:rsid w:val="00B25237"/>
    <w:rsid w:val="00B25285"/>
    <w:rsid w:val="00B25CE4"/>
    <w:rsid w:val="00B2750E"/>
    <w:rsid w:val="00B27555"/>
    <w:rsid w:val="00B30B9B"/>
    <w:rsid w:val="00B31010"/>
    <w:rsid w:val="00B316CA"/>
    <w:rsid w:val="00B3241F"/>
    <w:rsid w:val="00B3361E"/>
    <w:rsid w:val="00B34532"/>
    <w:rsid w:val="00B35249"/>
    <w:rsid w:val="00B35A42"/>
    <w:rsid w:val="00B35DB5"/>
    <w:rsid w:val="00B36039"/>
    <w:rsid w:val="00B37773"/>
    <w:rsid w:val="00B4174F"/>
    <w:rsid w:val="00B41F50"/>
    <w:rsid w:val="00B43A65"/>
    <w:rsid w:val="00B43FF0"/>
    <w:rsid w:val="00B4499A"/>
    <w:rsid w:val="00B47892"/>
    <w:rsid w:val="00B50F65"/>
    <w:rsid w:val="00B51234"/>
    <w:rsid w:val="00B57959"/>
    <w:rsid w:val="00B6030C"/>
    <w:rsid w:val="00B60FF6"/>
    <w:rsid w:val="00B61673"/>
    <w:rsid w:val="00B62648"/>
    <w:rsid w:val="00B627E0"/>
    <w:rsid w:val="00B631F1"/>
    <w:rsid w:val="00B63CC0"/>
    <w:rsid w:val="00B6560E"/>
    <w:rsid w:val="00B659FC"/>
    <w:rsid w:val="00B65DA2"/>
    <w:rsid w:val="00B660B8"/>
    <w:rsid w:val="00B66448"/>
    <w:rsid w:val="00B66634"/>
    <w:rsid w:val="00B66E0A"/>
    <w:rsid w:val="00B67533"/>
    <w:rsid w:val="00B764F5"/>
    <w:rsid w:val="00B76A10"/>
    <w:rsid w:val="00B80E04"/>
    <w:rsid w:val="00B8219E"/>
    <w:rsid w:val="00B82D60"/>
    <w:rsid w:val="00B85B0A"/>
    <w:rsid w:val="00B86B1F"/>
    <w:rsid w:val="00B86F99"/>
    <w:rsid w:val="00B871C5"/>
    <w:rsid w:val="00B8784F"/>
    <w:rsid w:val="00B91AE8"/>
    <w:rsid w:val="00B92055"/>
    <w:rsid w:val="00B948CC"/>
    <w:rsid w:val="00B95E55"/>
    <w:rsid w:val="00B96923"/>
    <w:rsid w:val="00B96B48"/>
    <w:rsid w:val="00B97634"/>
    <w:rsid w:val="00BA1A47"/>
    <w:rsid w:val="00BA23F9"/>
    <w:rsid w:val="00BA43D8"/>
    <w:rsid w:val="00BA4A39"/>
    <w:rsid w:val="00BB25C2"/>
    <w:rsid w:val="00BB5268"/>
    <w:rsid w:val="00BB6CC8"/>
    <w:rsid w:val="00BC6118"/>
    <w:rsid w:val="00BD2BA6"/>
    <w:rsid w:val="00BD4B7B"/>
    <w:rsid w:val="00BD4E9A"/>
    <w:rsid w:val="00BD50C2"/>
    <w:rsid w:val="00BD5BC5"/>
    <w:rsid w:val="00BD6042"/>
    <w:rsid w:val="00BD6078"/>
    <w:rsid w:val="00BD7C28"/>
    <w:rsid w:val="00BE21CD"/>
    <w:rsid w:val="00BE2303"/>
    <w:rsid w:val="00BE270C"/>
    <w:rsid w:val="00BE2C68"/>
    <w:rsid w:val="00BE3268"/>
    <w:rsid w:val="00BE3321"/>
    <w:rsid w:val="00BE3C79"/>
    <w:rsid w:val="00BE5A02"/>
    <w:rsid w:val="00BE691A"/>
    <w:rsid w:val="00BE6DB8"/>
    <w:rsid w:val="00BF0819"/>
    <w:rsid w:val="00BF3BDE"/>
    <w:rsid w:val="00BF5E00"/>
    <w:rsid w:val="00BF7086"/>
    <w:rsid w:val="00BF70EF"/>
    <w:rsid w:val="00C00473"/>
    <w:rsid w:val="00C0069C"/>
    <w:rsid w:val="00C01654"/>
    <w:rsid w:val="00C024B0"/>
    <w:rsid w:val="00C0544C"/>
    <w:rsid w:val="00C05E37"/>
    <w:rsid w:val="00C079CD"/>
    <w:rsid w:val="00C07F26"/>
    <w:rsid w:val="00C10057"/>
    <w:rsid w:val="00C13CBE"/>
    <w:rsid w:val="00C15C52"/>
    <w:rsid w:val="00C17581"/>
    <w:rsid w:val="00C20C11"/>
    <w:rsid w:val="00C229A7"/>
    <w:rsid w:val="00C23095"/>
    <w:rsid w:val="00C248D9"/>
    <w:rsid w:val="00C25944"/>
    <w:rsid w:val="00C25C03"/>
    <w:rsid w:val="00C25D4F"/>
    <w:rsid w:val="00C262D8"/>
    <w:rsid w:val="00C30318"/>
    <w:rsid w:val="00C30C6E"/>
    <w:rsid w:val="00C31AE2"/>
    <w:rsid w:val="00C3392A"/>
    <w:rsid w:val="00C33D33"/>
    <w:rsid w:val="00C33E77"/>
    <w:rsid w:val="00C34960"/>
    <w:rsid w:val="00C365EF"/>
    <w:rsid w:val="00C36E48"/>
    <w:rsid w:val="00C36F55"/>
    <w:rsid w:val="00C379FA"/>
    <w:rsid w:val="00C40EAD"/>
    <w:rsid w:val="00C42DD0"/>
    <w:rsid w:val="00C432FA"/>
    <w:rsid w:val="00C438CA"/>
    <w:rsid w:val="00C44563"/>
    <w:rsid w:val="00C44A1E"/>
    <w:rsid w:val="00C454BF"/>
    <w:rsid w:val="00C45DB1"/>
    <w:rsid w:val="00C502F8"/>
    <w:rsid w:val="00C56FD0"/>
    <w:rsid w:val="00C619EA"/>
    <w:rsid w:val="00C625F6"/>
    <w:rsid w:val="00C63836"/>
    <w:rsid w:val="00C63B5B"/>
    <w:rsid w:val="00C64256"/>
    <w:rsid w:val="00C65BBC"/>
    <w:rsid w:val="00C66627"/>
    <w:rsid w:val="00C706BA"/>
    <w:rsid w:val="00C70990"/>
    <w:rsid w:val="00C7159A"/>
    <w:rsid w:val="00C76194"/>
    <w:rsid w:val="00C76380"/>
    <w:rsid w:val="00C765BB"/>
    <w:rsid w:val="00C775B2"/>
    <w:rsid w:val="00C775F1"/>
    <w:rsid w:val="00C81077"/>
    <w:rsid w:val="00C81088"/>
    <w:rsid w:val="00C81B42"/>
    <w:rsid w:val="00C82571"/>
    <w:rsid w:val="00C825E5"/>
    <w:rsid w:val="00C83A9D"/>
    <w:rsid w:val="00C86E81"/>
    <w:rsid w:val="00C87214"/>
    <w:rsid w:val="00C87F33"/>
    <w:rsid w:val="00C917F2"/>
    <w:rsid w:val="00C922FB"/>
    <w:rsid w:val="00C931FB"/>
    <w:rsid w:val="00C93463"/>
    <w:rsid w:val="00C9419D"/>
    <w:rsid w:val="00C94497"/>
    <w:rsid w:val="00C960F6"/>
    <w:rsid w:val="00CA28F4"/>
    <w:rsid w:val="00CA2BC7"/>
    <w:rsid w:val="00CA3E78"/>
    <w:rsid w:val="00CA54DD"/>
    <w:rsid w:val="00CA579E"/>
    <w:rsid w:val="00CA58D9"/>
    <w:rsid w:val="00CA65CE"/>
    <w:rsid w:val="00CB00BB"/>
    <w:rsid w:val="00CB0E42"/>
    <w:rsid w:val="00CB1927"/>
    <w:rsid w:val="00CB21E5"/>
    <w:rsid w:val="00CB2799"/>
    <w:rsid w:val="00CB3D1D"/>
    <w:rsid w:val="00CB4929"/>
    <w:rsid w:val="00CB4A09"/>
    <w:rsid w:val="00CB4B8F"/>
    <w:rsid w:val="00CB53DC"/>
    <w:rsid w:val="00CB5A6F"/>
    <w:rsid w:val="00CC1152"/>
    <w:rsid w:val="00CC11BD"/>
    <w:rsid w:val="00CC5347"/>
    <w:rsid w:val="00CC5CA2"/>
    <w:rsid w:val="00CC6348"/>
    <w:rsid w:val="00CC69D6"/>
    <w:rsid w:val="00CC7E92"/>
    <w:rsid w:val="00CD0ACC"/>
    <w:rsid w:val="00CD0B96"/>
    <w:rsid w:val="00CD0E54"/>
    <w:rsid w:val="00CD30AE"/>
    <w:rsid w:val="00CD34BD"/>
    <w:rsid w:val="00CD4621"/>
    <w:rsid w:val="00CD5599"/>
    <w:rsid w:val="00CD7AF2"/>
    <w:rsid w:val="00CE2287"/>
    <w:rsid w:val="00CE324A"/>
    <w:rsid w:val="00CE3AE3"/>
    <w:rsid w:val="00CE515B"/>
    <w:rsid w:val="00CE58A2"/>
    <w:rsid w:val="00CE61B1"/>
    <w:rsid w:val="00CE785B"/>
    <w:rsid w:val="00CF0719"/>
    <w:rsid w:val="00CF0CAD"/>
    <w:rsid w:val="00CF19D1"/>
    <w:rsid w:val="00CF2F97"/>
    <w:rsid w:val="00CF3467"/>
    <w:rsid w:val="00CF3564"/>
    <w:rsid w:val="00CF3E64"/>
    <w:rsid w:val="00CF77B5"/>
    <w:rsid w:val="00CF7DFD"/>
    <w:rsid w:val="00D00FAD"/>
    <w:rsid w:val="00D01A54"/>
    <w:rsid w:val="00D01ABC"/>
    <w:rsid w:val="00D0373A"/>
    <w:rsid w:val="00D04E15"/>
    <w:rsid w:val="00D056B2"/>
    <w:rsid w:val="00D06A13"/>
    <w:rsid w:val="00D12800"/>
    <w:rsid w:val="00D1348E"/>
    <w:rsid w:val="00D13E74"/>
    <w:rsid w:val="00D151BD"/>
    <w:rsid w:val="00D168EC"/>
    <w:rsid w:val="00D16BE9"/>
    <w:rsid w:val="00D1707E"/>
    <w:rsid w:val="00D17D91"/>
    <w:rsid w:val="00D20B55"/>
    <w:rsid w:val="00D2233B"/>
    <w:rsid w:val="00D22AEC"/>
    <w:rsid w:val="00D233F0"/>
    <w:rsid w:val="00D24778"/>
    <w:rsid w:val="00D250ED"/>
    <w:rsid w:val="00D254C4"/>
    <w:rsid w:val="00D2574C"/>
    <w:rsid w:val="00D269ED"/>
    <w:rsid w:val="00D27DA2"/>
    <w:rsid w:val="00D30B0E"/>
    <w:rsid w:val="00D31B78"/>
    <w:rsid w:val="00D3267F"/>
    <w:rsid w:val="00D32A02"/>
    <w:rsid w:val="00D3386C"/>
    <w:rsid w:val="00D34194"/>
    <w:rsid w:val="00D34D79"/>
    <w:rsid w:val="00D3609E"/>
    <w:rsid w:val="00D36CE1"/>
    <w:rsid w:val="00D37016"/>
    <w:rsid w:val="00D41522"/>
    <w:rsid w:val="00D4492E"/>
    <w:rsid w:val="00D4531B"/>
    <w:rsid w:val="00D45AA4"/>
    <w:rsid w:val="00D478ED"/>
    <w:rsid w:val="00D5379C"/>
    <w:rsid w:val="00D538AB"/>
    <w:rsid w:val="00D55055"/>
    <w:rsid w:val="00D56C94"/>
    <w:rsid w:val="00D572F9"/>
    <w:rsid w:val="00D57C19"/>
    <w:rsid w:val="00D614E6"/>
    <w:rsid w:val="00D62A0F"/>
    <w:rsid w:val="00D66E22"/>
    <w:rsid w:val="00D673A7"/>
    <w:rsid w:val="00D67D64"/>
    <w:rsid w:val="00D715B4"/>
    <w:rsid w:val="00D72856"/>
    <w:rsid w:val="00D72DFA"/>
    <w:rsid w:val="00D73F6E"/>
    <w:rsid w:val="00D74597"/>
    <w:rsid w:val="00D751FE"/>
    <w:rsid w:val="00D75AAB"/>
    <w:rsid w:val="00D776DD"/>
    <w:rsid w:val="00D821C9"/>
    <w:rsid w:val="00D824B4"/>
    <w:rsid w:val="00D85355"/>
    <w:rsid w:val="00D87C83"/>
    <w:rsid w:val="00D90160"/>
    <w:rsid w:val="00D926DC"/>
    <w:rsid w:val="00D92A12"/>
    <w:rsid w:val="00D92A3C"/>
    <w:rsid w:val="00D92DB1"/>
    <w:rsid w:val="00D932DC"/>
    <w:rsid w:val="00D94819"/>
    <w:rsid w:val="00D9486A"/>
    <w:rsid w:val="00D95EA8"/>
    <w:rsid w:val="00D96B0B"/>
    <w:rsid w:val="00D96F51"/>
    <w:rsid w:val="00D9704F"/>
    <w:rsid w:val="00D978F4"/>
    <w:rsid w:val="00DA01F2"/>
    <w:rsid w:val="00DA1FC4"/>
    <w:rsid w:val="00DA2B43"/>
    <w:rsid w:val="00DA2E65"/>
    <w:rsid w:val="00DA3E4E"/>
    <w:rsid w:val="00DA3F47"/>
    <w:rsid w:val="00DA68DD"/>
    <w:rsid w:val="00DA7361"/>
    <w:rsid w:val="00DA7721"/>
    <w:rsid w:val="00DB18E4"/>
    <w:rsid w:val="00DB2536"/>
    <w:rsid w:val="00DB25C4"/>
    <w:rsid w:val="00DB386D"/>
    <w:rsid w:val="00DB48F6"/>
    <w:rsid w:val="00DB4986"/>
    <w:rsid w:val="00DB5492"/>
    <w:rsid w:val="00DB6193"/>
    <w:rsid w:val="00DB61F6"/>
    <w:rsid w:val="00DB702B"/>
    <w:rsid w:val="00DC2095"/>
    <w:rsid w:val="00DC379E"/>
    <w:rsid w:val="00DC4848"/>
    <w:rsid w:val="00DC57C5"/>
    <w:rsid w:val="00DC66A8"/>
    <w:rsid w:val="00DC7FAF"/>
    <w:rsid w:val="00DD1D06"/>
    <w:rsid w:val="00DD1E65"/>
    <w:rsid w:val="00DD2FE9"/>
    <w:rsid w:val="00DD35B3"/>
    <w:rsid w:val="00DD4950"/>
    <w:rsid w:val="00DD4A5D"/>
    <w:rsid w:val="00DD4CBD"/>
    <w:rsid w:val="00DD5B0D"/>
    <w:rsid w:val="00DD651F"/>
    <w:rsid w:val="00DD682D"/>
    <w:rsid w:val="00DD72A0"/>
    <w:rsid w:val="00DD7D8F"/>
    <w:rsid w:val="00DE4BA4"/>
    <w:rsid w:val="00DE5068"/>
    <w:rsid w:val="00DE5F28"/>
    <w:rsid w:val="00DE615C"/>
    <w:rsid w:val="00DE70E5"/>
    <w:rsid w:val="00DF038B"/>
    <w:rsid w:val="00DF177E"/>
    <w:rsid w:val="00DF1F8B"/>
    <w:rsid w:val="00DF309A"/>
    <w:rsid w:val="00DF3A80"/>
    <w:rsid w:val="00DF6735"/>
    <w:rsid w:val="00E0709B"/>
    <w:rsid w:val="00E11AE9"/>
    <w:rsid w:val="00E1319A"/>
    <w:rsid w:val="00E14942"/>
    <w:rsid w:val="00E164F8"/>
    <w:rsid w:val="00E16B7B"/>
    <w:rsid w:val="00E16EEF"/>
    <w:rsid w:val="00E17CE5"/>
    <w:rsid w:val="00E22BA2"/>
    <w:rsid w:val="00E22C8D"/>
    <w:rsid w:val="00E24B36"/>
    <w:rsid w:val="00E24C53"/>
    <w:rsid w:val="00E24CBA"/>
    <w:rsid w:val="00E26E1E"/>
    <w:rsid w:val="00E26E94"/>
    <w:rsid w:val="00E31A12"/>
    <w:rsid w:val="00E31F57"/>
    <w:rsid w:val="00E323BC"/>
    <w:rsid w:val="00E3372C"/>
    <w:rsid w:val="00E34E7A"/>
    <w:rsid w:val="00E351D0"/>
    <w:rsid w:val="00E366C0"/>
    <w:rsid w:val="00E367D4"/>
    <w:rsid w:val="00E371C1"/>
    <w:rsid w:val="00E379E8"/>
    <w:rsid w:val="00E40389"/>
    <w:rsid w:val="00E4163E"/>
    <w:rsid w:val="00E41C86"/>
    <w:rsid w:val="00E41D28"/>
    <w:rsid w:val="00E41E43"/>
    <w:rsid w:val="00E42946"/>
    <w:rsid w:val="00E454E3"/>
    <w:rsid w:val="00E457C2"/>
    <w:rsid w:val="00E462B7"/>
    <w:rsid w:val="00E46626"/>
    <w:rsid w:val="00E46B42"/>
    <w:rsid w:val="00E5062D"/>
    <w:rsid w:val="00E5144C"/>
    <w:rsid w:val="00E56971"/>
    <w:rsid w:val="00E56B92"/>
    <w:rsid w:val="00E56CE4"/>
    <w:rsid w:val="00E57A0B"/>
    <w:rsid w:val="00E57B76"/>
    <w:rsid w:val="00E60281"/>
    <w:rsid w:val="00E62272"/>
    <w:rsid w:val="00E62602"/>
    <w:rsid w:val="00E630A8"/>
    <w:rsid w:val="00E64331"/>
    <w:rsid w:val="00E64EC4"/>
    <w:rsid w:val="00E6623F"/>
    <w:rsid w:val="00E66CA8"/>
    <w:rsid w:val="00E67245"/>
    <w:rsid w:val="00E67618"/>
    <w:rsid w:val="00E67E98"/>
    <w:rsid w:val="00E701B7"/>
    <w:rsid w:val="00E701E0"/>
    <w:rsid w:val="00E7182C"/>
    <w:rsid w:val="00E71919"/>
    <w:rsid w:val="00E72DD8"/>
    <w:rsid w:val="00E73394"/>
    <w:rsid w:val="00E73C46"/>
    <w:rsid w:val="00E74829"/>
    <w:rsid w:val="00E74FF2"/>
    <w:rsid w:val="00E777D3"/>
    <w:rsid w:val="00E77D3A"/>
    <w:rsid w:val="00E81418"/>
    <w:rsid w:val="00E81792"/>
    <w:rsid w:val="00E821FC"/>
    <w:rsid w:val="00E840FC"/>
    <w:rsid w:val="00E84245"/>
    <w:rsid w:val="00E84733"/>
    <w:rsid w:val="00E84E4D"/>
    <w:rsid w:val="00E8525B"/>
    <w:rsid w:val="00E85B7B"/>
    <w:rsid w:val="00E876F4"/>
    <w:rsid w:val="00E87721"/>
    <w:rsid w:val="00E87B27"/>
    <w:rsid w:val="00E901DA"/>
    <w:rsid w:val="00E90D50"/>
    <w:rsid w:val="00E90EE8"/>
    <w:rsid w:val="00E913B3"/>
    <w:rsid w:val="00E92216"/>
    <w:rsid w:val="00E93404"/>
    <w:rsid w:val="00E95A44"/>
    <w:rsid w:val="00E95E77"/>
    <w:rsid w:val="00E96976"/>
    <w:rsid w:val="00E96BE8"/>
    <w:rsid w:val="00E96C32"/>
    <w:rsid w:val="00EA04BB"/>
    <w:rsid w:val="00EA076F"/>
    <w:rsid w:val="00EA2DBF"/>
    <w:rsid w:val="00EA3598"/>
    <w:rsid w:val="00EA540A"/>
    <w:rsid w:val="00EA6557"/>
    <w:rsid w:val="00EB065D"/>
    <w:rsid w:val="00EB0B43"/>
    <w:rsid w:val="00EB1EA6"/>
    <w:rsid w:val="00EB20AF"/>
    <w:rsid w:val="00EB35D8"/>
    <w:rsid w:val="00EB4CDE"/>
    <w:rsid w:val="00EB5204"/>
    <w:rsid w:val="00EB65E3"/>
    <w:rsid w:val="00EC28D3"/>
    <w:rsid w:val="00EC3404"/>
    <w:rsid w:val="00EC35E6"/>
    <w:rsid w:val="00EC38B3"/>
    <w:rsid w:val="00EC3BE3"/>
    <w:rsid w:val="00EC46AD"/>
    <w:rsid w:val="00ED1709"/>
    <w:rsid w:val="00ED186B"/>
    <w:rsid w:val="00ED636C"/>
    <w:rsid w:val="00ED6517"/>
    <w:rsid w:val="00ED73F7"/>
    <w:rsid w:val="00ED7685"/>
    <w:rsid w:val="00ED78F3"/>
    <w:rsid w:val="00ED7C4F"/>
    <w:rsid w:val="00EE00B5"/>
    <w:rsid w:val="00EE0E0F"/>
    <w:rsid w:val="00EE2405"/>
    <w:rsid w:val="00EE27CF"/>
    <w:rsid w:val="00EE2D33"/>
    <w:rsid w:val="00EE2E60"/>
    <w:rsid w:val="00EE5C46"/>
    <w:rsid w:val="00EE6A54"/>
    <w:rsid w:val="00EE74BB"/>
    <w:rsid w:val="00EE750C"/>
    <w:rsid w:val="00EE7DFC"/>
    <w:rsid w:val="00EF0036"/>
    <w:rsid w:val="00EF17F8"/>
    <w:rsid w:val="00EF35CF"/>
    <w:rsid w:val="00EF3A95"/>
    <w:rsid w:val="00EF45D1"/>
    <w:rsid w:val="00EF5BD6"/>
    <w:rsid w:val="00EF5CAB"/>
    <w:rsid w:val="00EF772D"/>
    <w:rsid w:val="00F00948"/>
    <w:rsid w:val="00F02B3C"/>
    <w:rsid w:val="00F03C32"/>
    <w:rsid w:val="00F03FA1"/>
    <w:rsid w:val="00F0544C"/>
    <w:rsid w:val="00F05CF8"/>
    <w:rsid w:val="00F06E42"/>
    <w:rsid w:val="00F074BC"/>
    <w:rsid w:val="00F10461"/>
    <w:rsid w:val="00F1121E"/>
    <w:rsid w:val="00F113A4"/>
    <w:rsid w:val="00F11B20"/>
    <w:rsid w:val="00F11C7E"/>
    <w:rsid w:val="00F12DF7"/>
    <w:rsid w:val="00F1364B"/>
    <w:rsid w:val="00F143D7"/>
    <w:rsid w:val="00F146DF"/>
    <w:rsid w:val="00F15F0E"/>
    <w:rsid w:val="00F16C42"/>
    <w:rsid w:val="00F21EA0"/>
    <w:rsid w:val="00F26B19"/>
    <w:rsid w:val="00F26F17"/>
    <w:rsid w:val="00F31F6C"/>
    <w:rsid w:val="00F3215B"/>
    <w:rsid w:val="00F3441E"/>
    <w:rsid w:val="00F35F68"/>
    <w:rsid w:val="00F36E3E"/>
    <w:rsid w:val="00F374C7"/>
    <w:rsid w:val="00F4129A"/>
    <w:rsid w:val="00F414BD"/>
    <w:rsid w:val="00F42DFB"/>
    <w:rsid w:val="00F43418"/>
    <w:rsid w:val="00F43E2D"/>
    <w:rsid w:val="00F46144"/>
    <w:rsid w:val="00F46D5C"/>
    <w:rsid w:val="00F473EF"/>
    <w:rsid w:val="00F50606"/>
    <w:rsid w:val="00F5142C"/>
    <w:rsid w:val="00F52E96"/>
    <w:rsid w:val="00F53F81"/>
    <w:rsid w:val="00F54BBF"/>
    <w:rsid w:val="00F54F99"/>
    <w:rsid w:val="00F55363"/>
    <w:rsid w:val="00F557C7"/>
    <w:rsid w:val="00F55A28"/>
    <w:rsid w:val="00F62123"/>
    <w:rsid w:val="00F6299D"/>
    <w:rsid w:val="00F6509F"/>
    <w:rsid w:val="00F66336"/>
    <w:rsid w:val="00F66C20"/>
    <w:rsid w:val="00F717AD"/>
    <w:rsid w:val="00F7449A"/>
    <w:rsid w:val="00F74F5D"/>
    <w:rsid w:val="00F80028"/>
    <w:rsid w:val="00F80C1E"/>
    <w:rsid w:val="00F81624"/>
    <w:rsid w:val="00F81941"/>
    <w:rsid w:val="00F825EC"/>
    <w:rsid w:val="00F835AE"/>
    <w:rsid w:val="00F86502"/>
    <w:rsid w:val="00F86C98"/>
    <w:rsid w:val="00F87725"/>
    <w:rsid w:val="00F908F9"/>
    <w:rsid w:val="00F957AA"/>
    <w:rsid w:val="00F9762B"/>
    <w:rsid w:val="00F97D5C"/>
    <w:rsid w:val="00FA024E"/>
    <w:rsid w:val="00FA2DBD"/>
    <w:rsid w:val="00FA2F82"/>
    <w:rsid w:val="00FA495E"/>
    <w:rsid w:val="00FA49EF"/>
    <w:rsid w:val="00FA5594"/>
    <w:rsid w:val="00FA5D73"/>
    <w:rsid w:val="00FA5E4B"/>
    <w:rsid w:val="00FA7DE0"/>
    <w:rsid w:val="00FB4703"/>
    <w:rsid w:val="00FB4820"/>
    <w:rsid w:val="00FB68E9"/>
    <w:rsid w:val="00FB6B57"/>
    <w:rsid w:val="00FB77D4"/>
    <w:rsid w:val="00FC056A"/>
    <w:rsid w:val="00FC14BE"/>
    <w:rsid w:val="00FC1802"/>
    <w:rsid w:val="00FC2449"/>
    <w:rsid w:val="00FC2EAB"/>
    <w:rsid w:val="00FC4081"/>
    <w:rsid w:val="00FC64A9"/>
    <w:rsid w:val="00FC72C3"/>
    <w:rsid w:val="00FC746F"/>
    <w:rsid w:val="00FD0DB8"/>
    <w:rsid w:val="00FD0E75"/>
    <w:rsid w:val="00FD1116"/>
    <w:rsid w:val="00FD1373"/>
    <w:rsid w:val="00FD1460"/>
    <w:rsid w:val="00FD2C25"/>
    <w:rsid w:val="00FD40AD"/>
    <w:rsid w:val="00FD47EA"/>
    <w:rsid w:val="00FD6269"/>
    <w:rsid w:val="00FD6753"/>
    <w:rsid w:val="00FD78BB"/>
    <w:rsid w:val="00FD7969"/>
    <w:rsid w:val="00FE170B"/>
    <w:rsid w:val="00FE319B"/>
    <w:rsid w:val="00FE621B"/>
    <w:rsid w:val="00FE6B45"/>
    <w:rsid w:val="00FE74B9"/>
    <w:rsid w:val="00FE7668"/>
    <w:rsid w:val="00FE7E8D"/>
    <w:rsid w:val="00FF00B2"/>
    <w:rsid w:val="00FF35D6"/>
    <w:rsid w:val="00FF3BEB"/>
    <w:rsid w:val="00FF3C60"/>
    <w:rsid w:val="00FF4E4C"/>
    <w:rsid w:val="00FF5AFD"/>
    <w:rsid w:val="00FF78A5"/>
    <w:rsid w:val="016530A6"/>
    <w:rsid w:val="01697D66"/>
    <w:rsid w:val="025B1ACD"/>
    <w:rsid w:val="02A95A91"/>
    <w:rsid w:val="05906E0E"/>
    <w:rsid w:val="062C0C86"/>
    <w:rsid w:val="06ED74FB"/>
    <w:rsid w:val="076749DF"/>
    <w:rsid w:val="083F2927"/>
    <w:rsid w:val="094535DA"/>
    <w:rsid w:val="0A0C08AE"/>
    <w:rsid w:val="0A7F4A25"/>
    <w:rsid w:val="0AE51194"/>
    <w:rsid w:val="0B244E72"/>
    <w:rsid w:val="0B8A4C01"/>
    <w:rsid w:val="0B952A5A"/>
    <w:rsid w:val="0CA24532"/>
    <w:rsid w:val="0CAE1748"/>
    <w:rsid w:val="0D363675"/>
    <w:rsid w:val="0DC34385"/>
    <w:rsid w:val="0E2E273F"/>
    <w:rsid w:val="0E9B1A88"/>
    <w:rsid w:val="0EEA3F17"/>
    <w:rsid w:val="0F1D06E0"/>
    <w:rsid w:val="0FFD4391"/>
    <w:rsid w:val="10497C66"/>
    <w:rsid w:val="11A10419"/>
    <w:rsid w:val="12A80FE3"/>
    <w:rsid w:val="12C77029"/>
    <w:rsid w:val="13103A1F"/>
    <w:rsid w:val="14B33AEC"/>
    <w:rsid w:val="152A5C40"/>
    <w:rsid w:val="15C92D1E"/>
    <w:rsid w:val="18CE5D4E"/>
    <w:rsid w:val="18E901FF"/>
    <w:rsid w:val="198412F9"/>
    <w:rsid w:val="19BB4378"/>
    <w:rsid w:val="19EB3548"/>
    <w:rsid w:val="1AB50C8B"/>
    <w:rsid w:val="1C723F55"/>
    <w:rsid w:val="1CD1266C"/>
    <w:rsid w:val="1D61232E"/>
    <w:rsid w:val="1D842F9F"/>
    <w:rsid w:val="1DA246EA"/>
    <w:rsid w:val="1E4E76D4"/>
    <w:rsid w:val="1E63175D"/>
    <w:rsid w:val="1EE15EF2"/>
    <w:rsid w:val="1EEC4F19"/>
    <w:rsid w:val="1EFD25C9"/>
    <w:rsid w:val="1F0555D0"/>
    <w:rsid w:val="1F835228"/>
    <w:rsid w:val="224521C8"/>
    <w:rsid w:val="22D7131B"/>
    <w:rsid w:val="265F2E72"/>
    <w:rsid w:val="267B688D"/>
    <w:rsid w:val="26F10F71"/>
    <w:rsid w:val="275B2EFA"/>
    <w:rsid w:val="27FB165A"/>
    <w:rsid w:val="29771D84"/>
    <w:rsid w:val="2A8432E3"/>
    <w:rsid w:val="2B4D7985"/>
    <w:rsid w:val="2BA746E3"/>
    <w:rsid w:val="2BA8423E"/>
    <w:rsid w:val="2DFB583E"/>
    <w:rsid w:val="2FBB67B3"/>
    <w:rsid w:val="30451BE1"/>
    <w:rsid w:val="30FE4749"/>
    <w:rsid w:val="32163553"/>
    <w:rsid w:val="32417E72"/>
    <w:rsid w:val="32AD374C"/>
    <w:rsid w:val="32AF41A4"/>
    <w:rsid w:val="3576005E"/>
    <w:rsid w:val="361816D5"/>
    <w:rsid w:val="36511C93"/>
    <w:rsid w:val="3777701E"/>
    <w:rsid w:val="37A26062"/>
    <w:rsid w:val="382967E2"/>
    <w:rsid w:val="386E194E"/>
    <w:rsid w:val="388E2B32"/>
    <w:rsid w:val="395B7846"/>
    <w:rsid w:val="3984766C"/>
    <w:rsid w:val="399E3A7E"/>
    <w:rsid w:val="3A0B0695"/>
    <w:rsid w:val="3AE555D1"/>
    <w:rsid w:val="3BFA4948"/>
    <w:rsid w:val="3C373630"/>
    <w:rsid w:val="3C600BA0"/>
    <w:rsid w:val="3C775DDD"/>
    <w:rsid w:val="3CB26299"/>
    <w:rsid w:val="3D297040"/>
    <w:rsid w:val="3FE80D70"/>
    <w:rsid w:val="414A6C44"/>
    <w:rsid w:val="422250B6"/>
    <w:rsid w:val="42D807BB"/>
    <w:rsid w:val="439A7158"/>
    <w:rsid w:val="43FB0FCE"/>
    <w:rsid w:val="44952DCE"/>
    <w:rsid w:val="44D6392D"/>
    <w:rsid w:val="453D66C3"/>
    <w:rsid w:val="45746553"/>
    <w:rsid w:val="4845675E"/>
    <w:rsid w:val="484D1EB0"/>
    <w:rsid w:val="486A06BE"/>
    <w:rsid w:val="487F06F3"/>
    <w:rsid w:val="488536A1"/>
    <w:rsid w:val="490D1EDD"/>
    <w:rsid w:val="4A315011"/>
    <w:rsid w:val="4A7F27C5"/>
    <w:rsid w:val="4A8D5B39"/>
    <w:rsid w:val="4AFA7DDC"/>
    <w:rsid w:val="4CE73383"/>
    <w:rsid w:val="4CF705D4"/>
    <w:rsid w:val="4DE612E7"/>
    <w:rsid w:val="4EA735EA"/>
    <w:rsid w:val="4F572226"/>
    <w:rsid w:val="5046581E"/>
    <w:rsid w:val="50E27ED8"/>
    <w:rsid w:val="517017CC"/>
    <w:rsid w:val="52D1606E"/>
    <w:rsid w:val="531C3791"/>
    <w:rsid w:val="54CA0347"/>
    <w:rsid w:val="565700C7"/>
    <w:rsid w:val="56A76E84"/>
    <w:rsid w:val="56E5730E"/>
    <w:rsid w:val="57971DDB"/>
    <w:rsid w:val="58F4207F"/>
    <w:rsid w:val="591C1F91"/>
    <w:rsid w:val="59B134DA"/>
    <w:rsid w:val="59C97903"/>
    <w:rsid w:val="5A632D29"/>
    <w:rsid w:val="5C9455B6"/>
    <w:rsid w:val="5D0D79F3"/>
    <w:rsid w:val="5D3C4BCE"/>
    <w:rsid w:val="5D634D47"/>
    <w:rsid w:val="5FB14A41"/>
    <w:rsid w:val="61E350FC"/>
    <w:rsid w:val="620A2969"/>
    <w:rsid w:val="63232F09"/>
    <w:rsid w:val="636961BC"/>
    <w:rsid w:val="64B452BD"/>
    <w:rsid w:val="655F3ADE"/>
    <w:rsid w:val="67734199"/>
    <w:rsid w:val="677E6022"/>
    <w:rsid w:val="67A648CA"/>
    <w:rsid w:val="685537D6"/>
    <w:rsid w:val="686069F2"/>
    <w:rsid w:val="68F40B81"/>
    <w:rsid w:val="6ADE4990"/>
    <w:rsid w:val="6C222FB0"/>
    <w:rsid w:val="6CC66DA5"/>
    <w:rsid w:val="6E4B6062"/>
    <w:rsid w:val="6E5A4BFC"/>
    <w:rsid w:val="6EE745CF"/>
    <w:rsid w:val="719011A4"/>
    <w:rsid w:val="72763978"/>
    <w:rsid w:val="73CD382B"/>
    <w:rsid w:val="74736122"/>
    <w:rsid w:val="773B1A85"/>
    <w:rsid w:val="783317DB"/>
    <w:rsid w:val="78BD6E00"/>
    <w:rsid w:val="78CC4C7F"/>
    <w:rsid w:val="796F1945"/>
    <w:rsid w:val="7BD357EF"/>
    <w:rsid w:val="7CD9353B"/>
    <w:rsid w:val="7E091435"/>
    <w:rsid w:val="7F7A5CF9"/>
    <w:rsid w:val="7FAE72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jc w:val="both"/>
    </w:pPr>
    <w:rPr>
      <w:rFonts w:ascii="宋体" w:hAnsi="宋体" w:eastAsia="宋体" w:cs="宋体"/>
      <w:sz w:val="24"/>
      <w:szCs w:val="24"/>
      <w:lang w:val="en-US" w:eastAsia="zh-CN" w:bidi="ar-SA"/>
    </w:rPr>
  </w:style>
  <w:style w:type="paragraph" w:styleId="3">
    <w:name w:val="heading 1"/>
    <w:basedOn w:val="1"/>
    <w:next w:val="1"/>
    <w:link w:val="47"/>
    <w:qFormat/>
    <w:uiPriority w:val="0"/>
    <w:pPr>
      <w:spacing w:line="600" w:lineRule="exact"/>
      <w:outlineLvl w:val="0"/>
    </w:pPr>
    <w:rPr>
      <w:rFonts w:ascii="黑体" w:hAnsi="黑体" w:eastAsia="黑体"/>
      <w:sz w:val="32"/>
      <w:szCs w:val="32"/>
    </w:rPr>
  </w:style>
  <w:style w:type="paragraph" w:styleId="4">
    <w:name w:val="heading 2"/>
    <w:basedOn w:val="1"/>
    <w:next w:val="1"/>
    <w:link w:val="25"/>
    <w:unhideWhenUsed/>
    <w:qFormat/>
    <w:uiPriority w:val="0"/>
    <w:pPr>
      <w:spacing w:line="600" w:lineRule="exact"/>
      <w:ind w:firstLine="640" w:firstLineChars="200"/>
      <w:outlineLvl w:val="1"/>
    </w:pPr>
    <w:rPr>
      <w:rFonts w:ascii="楷体" w:hAnsi="楷体" w:eastAsia="楷体"/>
      <w:sz w:val="32"/>
      <w:szCs w:val="32"/>
    </w:rPr>
  </w:style>
  <w:style w:type="paragraph" w:styleId="5">
    <w:name w:val="heading 3"/>
    <w:basedOn w:val="1"/>
    <w:next w:val="1"/>
    <w:link w:val="53"/>
    <w:semiHidden/>
    <w:unhideWhenUsed/>
    <w:qFormat/>
    <w:uiPriority w:val="9"/>
    <w:pPr>
      <w:keepNext/>
      <w:keepLines/>
      <w:widowControl w:val="0"/>
      <w:spacing w:before="260" w:after="260" w:line="416" w:lineRule="auto"/>
      <w:outlineLvl w:val="2"/>
    </w:pPr>
    <w:rPr>
      <w:rFonts w:asciiTheme="minorHAnsi" w:hAnsiTheme="minorHAnsi" w:eastAsiaTheme="minorEastAsia" w:cstheme="minorBidi"/>
      <w:b/>
      <w:bCs/>
      <w:kern w:val="2"/>
      <w:sz w:val="32"/>
      <w:szCs w:val="32"/>
    </w:rPr>
  </w:style>
  <w:style w:type="character" w:default="1" w:styleId="20">
    <w:name w:val="Default Paragraph Font"/>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rPr>
      <w:rFonts w:ascii="Calibri" w:hAnsi="Calibri" w:cs="Times New Roman"/>
    </w:rPr>
  </w:style>
  <w:style w:type="paragraph" w:styleId="6">
    <w:name w:val="Document Map"/>
    <w:basedOn w:val="1"/>
    <w:link w:val="59"/>
    <w:semiHidden/>
    <w:unhideWhenUsed/>
    <w:qFormat/>
    <w:uiPriority w:val="99"/>
    <w:rPr>
      <w:rFonts w:ascii="微软雅黑" w:eastAsia="微软雅黑"/>
      <w:sz w:val="18"/>
      <w:szCs w:val="18"/>
    </w:rPr>
  </w:style>
  <w:style w:type="paragraph" w:styleId="7">
    <w:name w:val="toa heading"/>
    <w:basedOn w:val="1"/>
    <w:next w:val="1"/>
    <w:qFormat/>
    <w:uiPriority w:val="0"/>
    <w:pPr>
      <w:spacing w:before="120" w:line="240" w:lineRule="auto"/>
      <w:jc w:val="left"/>
    </w:pPr>
    <w:rPr>
      <w:rFonts w:ascii="Arial" w:hAnsi="Arial" w:cs="Arial"/>
      <w:kern w:val="2"/>
      <w:szCs w:val="20"/>
    </w:rPr>
  </w:style>
  <w:style w:type="paragraph" w:styleId="8">
    <w:name w:val="annotation text"/>
    <w:basedOn w:val="1"/>
    <w:link w:val="56"/>
    <w:semiHidden/>
    <w:unhideWhenUsed/>
    <w:qFormat/>
    <w:uiPriority w:val="99"/>
  </w:style>
  <w:style w:type="paragraph" w:styleId="9">
    <w:name w:val="toc 3"/>
    <w:basedOn w:val="1"/>
    <w:next w:val="1"/>
    <w:unhideWhenUsed/>
    <w:qFormat/>
    <w:uiPriority w:val="39"/>
    <w:pPr>
      <w:ind w:left="840" w:leftChars="400"/>
    </w:pPr>
  </w:style>
  <w:style w:type="paragraph" w:styleId="10">
    <w:name w:val="Date"/>
    <w:basedOn w:val="1"/>
    <w:next w:val="1"/>
    <w:link w:val="26"/>
    <w:semiHidden/>
    <w:unhideWhenUsed/>
    <w:qFormat/>
    <w:uiPriority w:val="99"/>
    <w:pPr>
      <w:widowControl w:val="0"/>
      <w:ind w:left="100" w:leftChars="2500"/>
    </w:pPr>
    <w:rPr>
      <w:rFonts w:asciiTheme="minorHAnsi" w:hAnsiTheme="minorHAnsi" w:eastAsiaTheme="minorEastAsia" w:cstheme="minorBidi"/>
      <w:kern w:val="2"/>
      <w:sz w:val="21"/>
      <w:szCs w:val="22"/>
    </w:rPr>
  </w:style>
  <w:style w:type="paragraph" w:styleId="11">
    <w:name w:val="Balloon Text"/>
    <w:basedOn w:val="1"/>
    <w:link w:val="29"/>
    <w:semiHidden/>
    <w:unhideWhenUsed/>
    <w:qFormat/>
    <w:uiPriority w:val="99"/>
    <w:pPr>
      <w:widowControl w:val="0"/>
    </w:pPr>
    <w:rPr>
      <w:rFonts w:asciiTheme="minorHAnsi" w:hAnsiTheme="minorHAnsi" w:eastAsiaTheme="minorEastAsia" w:cstheme="minorBidi"/>
      <w:kern w:val="2"/>
      <w:sz w:val="18"/>
      <w:szCs w:val="18"/>
    </w:rPr>
  </w:style>
  <w:style w:type="paragraph" w:styleId="12">
    <w:name w:val="footer"/>
    <w:basedOn w:val="1"/>
    <w:link w:val="27"/>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13">
    <w:name w:val="header"/>
    <w:basedOn w:val="1"/>
    <w:link w:val="28"/>
    <w:unhideWhenUsed/>
    <w:qFormat/>
    <w:uiPriority w:val="0"/>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14">
    <w:name w:val="toc 1"/>
    <w:basedOn w:val="1"/>
    <w:next w:val="1"/>
    <w:qFormat/>
    <w:uiPriority w:val="39"/>
    <w:pPr>
      <w:widowControl w:val="0"/>
    </w:pPr>
    <w:rPr>
      <w:rFonts w:asciiTheme="minorHAnsi" w:hAnsiTheme="minorHAnsi" w:eastAsiaTheme="minorEastAsia" w:cstheme="minorBidi"/>
      <w:kern w:val="2"/>
      <w:sz w:val="21"/>
    </w:rPr>
  </w:style>
  <w:style w:type="paragraph" w:styleId="15">
    <w:name w:val="footnote text"/>
    <w:basedOn w:val="1"/>
    <w:link w:val="60"/>
    <w:semiHidden/>
    <w:unhideWhenUsed/>
    <w:qFormat/>
    <w:uiPriority w:val="99"/>
    <w:pPr>
      <w:snapToGrid w:val="0"/>
      <w:jc w:val="left"/>
    </w:pPr>
    <w:rPr>
      <w:sz w:val="18"/>
      <w:szCs w:val="18"/>
    </w:rPr>
  </w:style>
  <w:style w:type="paragraph" w:styleId="16">
    <w:name w:val="toc 2"/>
    <w:basedOn w:val="1"/>
    <w:next w:val="1"/>
    <w:unhideWhenUsed/>
    <w:qFormat/>
    <w:uiPriority w:val="39"/>
    <w:pPr>
      <w:widowControl w:val="0"/>
      <w:ind w:left="420" w:leftChars="200"/>
    </w:pPr>
    <w:rPr>
      <w:rFonts w:asciiTheme="minorHAnsi" w:hAnsiTheme="minorHAnsi" w:eastAsiaTheme="minorEastAsia" w:cstheme="minorBidi"/>
      <w:kern w:val="2"/>
      <w:sz w:val="21"/>
      <w:szCs w:val="22"/>
    </w:rPr>
  </w:style>
  <w:style w:type="paragraph" w:styleId="17">
    <w:name w:val="annotation subject"/>
    <w:basedOn w:val="8"/>
    <w:next w:val="8"/>
    <w:link w:val="57"/>
    <w:semiHidden/>
    <w:unhideWhenUsed/>
    <w:qFormat/>
    <w:uiPriority w:val="99"/>
    <w:rPr>
      <w:b/>
      <w:bCs/>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FollowedHyperlink"/>
    <w:basedOn w:val="20"/>
    <w:semiHidden/>
    <w:unhideWhenUsed/>
    <w:qFormat/>
    <w:uiPriority w:val="99"/>
    <w:rPr>
      <w:color w:val="954F72"/>
      <w:u w:val="single"/>
    </w:rPr>
  </w:style>
  <w:style w:type="character" w:styleId="22">
    <w:name w:val="Hyperlink"/>
    <w:basedOn w:val="20"/>
    <w:unhideWhenUsed/>
    <w:qFormat/>
    <w:uiPriority w:val="99"/>
    <w:rPr>
      <w:color w:val="0563C1" w:themeColor="hyperlink"/>
      <w:u w:val="single"/>
    </w:rPr>
  </w:style>
  <w:style w:type="character" w:styleId="23">
    <w:name w:val="annotation reference"/>
    <w:basedOn w:val="20"/>
    <w:semiHidden/>
    <w:unhideWhenUsed/>
    <w:qFormat/>
    <w:uiPriority w:val="99"/>
    <w:rPr>
      <w:sz w:val="21"/>
      <w:szCs w:val="21"/>
    </w:rPr>
  </w:style>
  <w:style w:type="character" w:styleId="24">
    <w:name w:val="footnote reference"/>
    <w:basedOn w:val="20"/>
    <w:semiHidden/>
    <w:unhideWhenUsed/>
    <w:qFormat/>
    <w:uiPriority w:val="99"/>
    <w:rPr>
      <w:vertAlign w:val="superscript"/>
    </w:rPr>
  </w:style>
  <w:style w:type="character" w:customStyle="1" w:styleId="25">
    <w:name w:val="标题 2 Char"/>
    <w:basedOn w:val="20"/>
    <w:link w:val="4"/>
    <w:qFormat/>
    <w:uiPriority w:val="0"/>
    <w:rPr>
      <w:rFonts w:ascii="楷体" w:hAnsi="楷体" w:eastAsia="楷体" w:cs="宋体"/>
      <w:kern w:val="0"/>
      <w:sz w:val="32"/>
      <w:szCs w:val="32"/>
    </w:rPr>
  </w:style>
  <w:style w:type="character" w:customStyle="1" w:styleId="26">
    <w:name w:val="日期 Char"/>
    <w:basedOn w:val="20"/>
    <w:link w:val="10"/>
    <w:semiHidden/>
    <w:qFormat/>
    <w:uiPriority w:val="99"/>
  </w:style>
  <w:style w:type="character" w:customStyle="1" w:styleId="27">
    <w:name w:val="页脚 Char"/>
    <w:basedOn w:val="20"/>
    <w:link w:val="12"/>
    <w:qFormat/>
    <w:uiPriority w:val="99"/>
    <w:rPr>
      <w:sz w:val="18"/>
      <w:szCs w:val="18"/>
    </w:rPr>
  </w:style>
  <w:style w:type="character" w:customStyle="1" w:styleId="28">
    <w:name w:val="页眉 Char"/>
    <w:basedOn w:val="20"/>
    <w:link w:val="13"/>
    <w:qFormat/>
    <w:uiPriority w:val="0"/>
    <w:rPr>
      <w:sz w:val="18"/>
      <w:szCs w:val="18"/>
    </w:rPr>
  </w:style>
  <w:style w:type="character" w:customStyle="1" w:styleId="29">
    <w:name w:val="批注框文本 Char"/>
    <w:basedOn w:val="20"/>
    <w:link w:val="11"/>
    <w:semiHidden/>
    <w:qFormat/>
    <w:uiPriority w:val="99"/>
    <w:rPr>
      <w:sz w:val="18"/>
      <w:szCs w:val="18"/>
    </w:rPr>
  </w:style>
  <w:style w:type="paragraph" w:styleId="30">
    <w:name w:val="List Paragraph"/>
    <w:basedOn w:val="1"/>
    <w:qFormat/>
    <w:uiPriority w:val="34"/>
    <w:pPr>
      <w:widowControl w:val="0"/>
      <w:ind w:firstLine="420" w:firstLineChars="200"/>
    </w:pPr>
    <w:rPr>
      <w:rFonts w:asciiTheme="minorHAnsi" w:hAnsiTheme="minorHAnsi" w:eastAsiaTheme="minorEastAsia" w:cstheme="minorBidi"/>
      <w:kern w:val="2"/>
      <w:sz w:val="21"/>
      <w:szCs w:val="22"/>
    </w:rPr>
  </w:style>
  <w:style w:type="character" w:customStyle="1" w:styleId="31">
    <w:name w:val="正文文本 + Sylfaen1"/>
    <w:basedOn w:val="20"/>
    <w:qFormat/>
    <w:uiPriority w:val="0"/>
    <w:rPr>
      <w:rFonts w:ascii="Sylfaen" w:hAnsi="Sylfaen" w:eastAsia="Sylfaen" w:cs="Sylfaen"/>
      <w:color w:val="000000"/>
      <w:spacing w:val="0"/>
      <w:w w:val="100"/>
      <w:position w:val="0"/>
      <w:sz w:val="24"/>
      <w:szCs w:val="24"/>
      <w:u w:val="none"/>
      <w:lang w:val="en-US" w:eastAsia="en-US" w:bidi="en-US"/>
    </w:rPr>
  </w:style>
  <w:style w:type="paragraph" w:customStyle="1" w:styleId="32">
    <w:name w:val="msonormal"/>
    <w:basedOn w:val="1"/>
    <w:qFormat/>
    <w:uiPriority w:val="0"/>
    <w:pPr>
      <w:spacing w:before="100" w:beforeAutospacing="1" w:after="100" w:afterAutospacing="1"/>
    </w:pPr>
  </w:style>
  <w:style w:type="paragraph" w:customStyle="1" w:styleId="33">
    <w:name w:val="font5"/>
    <w:basedOn w:val="1"/>
    <w:qFormat/>
    <w:uiPriority w:val="0"/>
    <w:pPr>
      <w:spacing w:before="100" w:beforeAutospacing="1" w:after="100" w:afterAutospacing="1"/>
    </w:pPr>
    <w:rPr>
      <w:rFonts w:ascii="等线" w:hAnsi="等线" w:eastAsia="等线"/>
      <w:sz w:val="18"/>
      <w:szCs w:val="18"/>
    </w:rPr>
  </w:style>
  <w:style w:type="paragraph" w:customStyle="1" w:styleId="34">
    <w:name w:val="xl65"/>
    <w:basedOn w:val="1"/>
    <w:qFormat/>
    <w:uiPriority w:val="0"/>
    <w:pPr>
      <w:spacing w:before="100" w:beforeAutospacing="1" w:after="100" w:afterAutospacing="1"/>
      <w:jc w:val="center"/>
    </w:pPr>
    <w:rPr>
      <w:rFonts w:ascii="仿宋" w:hAnsi="仿宋" w:eastAsia="仿宋"/>
    </w:rPr>
  </w:style>
  <w:style w:type="paragraph" w:customStyle="1" w:styleId="35">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36">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37">
    <w:name w:val="xl68"/>
    <w:basedOn w:val="1"/>
    <w:qFormat/>
    <w:uiPriority w:val="0"/>
    <w:pPr>
      <w:spacing w:before="100" w:beforeAutospacing="1" w:after="100" w:afterAutospacing="1"/>
      <w:jc w:val="center"/>
    </w:pPr>
    <w:rPr>
      <w:rFonts w:ascii="仿宋" w:hAnsi="仿宋" w:eastAsia="仿宋"/>
    </w:rPr>
  </w:style>
  <w:style w:type="paragraph" w:customStyle="1" w:styleId="38">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rPr>
  </w:style>
  <w:style w:type="paragraph" w:customStyle="1" w:styleId="39">
    <w:name w:val="xl70"/>
    <w:basedOn w:val="1"/>
    <w:qFormat/>
    <w:uiPriority w:val="0"/>
    <w:pPr>
      <w:pBdr>
        <w:left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40">
    <w:name w:val="xl71"/>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41">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42">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43">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44">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45">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paragraph" w:customStyle="1" w:styleId="46">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rPr>
  </w:style>
  <w:style w:type="character" w:customStyle="1" w:styleId="47">
    <w:name w:val="标题 1 Char"/>
    <w:basedOn w:val="20"/>
    <w:link w:val="3"/>
    <w:qFormat/>
    <w:uiPriority w:val="0"/>
    <w:rPr>
      <w:rFonts w:ascii="黑体" w:hAnsi="黑体" w:eastAsia="黑体" w:cs="宋体"/>
      <w:kern w:val="0"/>
      <w:sz w:val="32"/>
      <w:szCs w:val="32"/>
    </w:rPr>
  </w:style>
  <w:style w:type="table" w:customStyle="1" w:styleId="48">
    <w:name w:val="网格型2"/>
    <w:basedOn w:val="18"/>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
    <w:name w:val="网格型3"/>
    <w:basedOn w:val="18"/>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
    <w:name w:val="网格型4"/>
    <w:basedOn w:val="18"/>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
    <w:name w:val="网格型5"/>
    <w:basedOn w:val="18"/>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
    <w:name w:val="网格型6"/>
    <w:basedOn w:val="18"/>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3">
    <w:name w:val="标题 3 Char"/>
    <w:basedOn w:val="20"/>
    <w:link w:val="5"/>
    <w:semiHidden/>
    <w:qFormat/>
    <w:uiPriority w:val="9"/>
    <w:rPr>
      <w:b/>
      <w:bCs/>
      <w:sz w:val="32"/>
      <w:szCs w:val="32"/>
    </w:rPr>
  </w:style>
  <w:style w:type="paragraph" w:customStyle="1" w:styleId="54">
    <w:name w:val="闻政正文"/>
    <w:basedOn w:val="1"/>
    <w:next w:val="1"/>
    <w:link w:val="55"/>
    <w:qFormat/>
    <w:uiPriority w:val="0"/>
    <w:pPr>
      <w:spacing w:after="384" w:line="500" w:lineRule="exact"/>
      <w:ind w:firstLine="560" w:firstLineChars="200"/>
    </w:pPr>
    <w:rPr>
      <w:rFonts w:ascii="Times New Roman" w:hAnsi="Times New Roman" w:eastAsia="仿宋_GB2312" w:cs="Times New Roman"/>
      <w:sz w:val="28"/>
      <w:szCs w:val="28"/>
    </w:rPr>
  </w:style>
  <w:style w:type="character" w:customStyle="1" w:styleId="55">
    <w:name w:val="闻政正文 Char"/>
    <w:link w:val="54"/>
    <w:qFormat/>
    <w:uiPriority w:val="0"/>
    <w:rPr>
      <w:rFonts w:ascii="Times New Roman" w:hAnsi="Times New Roman" w:eastAsia="仿宋_GB2312" w:cs="Times New Roman"/>
      <w:kern w:val="0"/>
      <w:sz w:val="28"/>
      <w:szCs w:val="28"/>
    </w:rPr>
  </w:style>
  <w:style w:type="character" w:customStyle="1" w:styleId="56">
    <w:name w:val="批注文字 Char"/>
    <w:basedOn w:val="20"/>
    <w:link w:val="8"/>
    <w:semiHidden/>
    <w:qFormat/>
    <w:uiPriority w:val="99"/>
    <w:rPr>
      <w:rFonts w:ascii="宋体" w:hAnsi="宋体" w:eastAsia="宋体" w:cs="宋体"/>
      <w:kern w:val="0"/>
      <w:sz w:val="24"/>
      <w:szCs w:val="24"/>
    </w:rPr>
  </w:style>
  <w:style w:type="character" w:customStyle="1" w:styleId="57">
    <w:name w:val="批注主题 Char"/>
    <w:basedOn w:val="56"/>
    <w:link w:val="17"/>
    <w:semiHidden/>
    <w:qFormat/>
    <w:uiPriority w:val="99"/>
    <w:rPr>
      <w:rFonts w:ascii="宋体" w:hAnsi="宋体" w:eastAsia="宋体" w:cs="宋体"/>
      <w:b/>
      <w:bCs/>
      <w:kern w:val="0"/>
      <w:sz w:val="24"/>
      <w:szCs w:val="24"/>
    </w:rPr>
  </w:style>
  <w:style w:type="character" w:styleId="58">
    <w:name w:val="Placeholder Text"/>
    <w:basedOn w:val="20"/>
    <w:semiHidden/>
    <w:qFormat/>
    <w:uiPriority w:val="99"/>
    <w:rPr>
      <w:color w:val="808080"/>
    </w:rPr>
  </w:style>
  <w:style w:type="character" w:customStyle="1" w:styleId="59">
    <w:name w:val="文档结构图 Char"/>
    <w:basedOn w:val="20"/>
    <w:link w:val="6"/>
    <w:semiHidden/>
    <w:uiPriority w:val="99"/>
    <w:rPr>
      <w:rFonts w:ascii="微软雅黑" w:hAnsi="宋体" w:eastAsia="微软雅黑" w:cs="宋体"/>
      <w:sz w:val="18"/>
      <w:szCs w:val="18"/>
    </w:rPr>
  </w:style>
  <w:style w:type="character" w:customStyle="1" w:styleId="60">
    <w:name w:val="脚注文本 Char"/>
    <w:basedOn w:val="20"/>
    <w:link w:val="15"/>
    <w:semiHidden/>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wmf"/><Relationship Id="rId13" Type="http://schemas.openxmlformats.org/officeDocument/2006/relationships/theme" Target="theme/theme1.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8683E6-305D-4900-9349-F555223AC39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65</Pages>
  <Words>4877</Words>
  <Characters>27802</Characters>
  <Lines>231</Lines>
  <Paragraphs>65</Paragraphs>
  <TotalTime>0</TotalTime>
  <ScaleCrop>false</ScaleCrop>
  <LinksUpToDate>false</LinksUpToDate>
  <CharactersWithSpaces>32614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2020-07-20T13:49:00Z</dcterms:created>
  <dc:creator>weibin wang</dc:creator>
  <cp:lastModifiedBy>会飞de蜗牛</cp:lastModifiedBy>
  <cp:lastPrinted>2020-10-29T01:52:00Z</cp:lastPrinted>
  <dcterms:modified xsi:type="dcterms:W3CDTF">2020-11-30T10:41:04Z</dcterms:modified>
  <cp:revision>1836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