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仿宋"/>
          <w:b w:val="0"/>
          <w:bCs w:val="0"/>
          <w:color w:val="auto"/>
          <w:sz w:val="32"/>
          <w:szCs w:val="32"/>
          <w:lang w:val="en-US" w:eastAsia="zh-CN"/>
        </w:rPr>
      </w:pPr>
      <w:bookmarkStart w:id="0" w:name="_GoBack"/>
      <w:bookmarkEnd w:id="0"/>
      <w:r>
        <w:rPr>
          <w:rFonts w:hint="eastAsia"/>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jc w:val="center"/>
        <w:textAlignment w:val="auto"/>
        <w:rPr>
          <w:b/>
          <w:bCs/>
          <w:color w:val="auto"/>
          <w:sz w:val="36"/>
          <w:szCs w:val="36"/>
        </w:rPr>
      </w:pPr>
      <w:r>
        <w:rPr>
          <w:rFonts w:hint="eastAsia"/>
          <w:b/>
          <w:bCs/>
          <w:color w:val="auto"/>
          <w:sz w:val="36"/>
          <w:szCs w:val="36"/>
        </w:rPr>
        <w:t>本次检验项目</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食用农产品</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（一）抽检依据</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抽检依据是</w:t>
      </w:r>
      <w:r>
        <w:rPr>
          <w:rFonts w:hint="default" w:ascii="仿宋_GB2312" w:hAnsi="仿宋_GB2312" w:eastAsia="仿宋_GB2312" w:cs="仿宋_GB2312"/>
          <w:color w:val="auto"/>
          <w:sz w:val="32"/>
          <w:szCs w:val="32"/>
          <w:lang w:val="en-US" w:eastAsia="zh-CN"/>
        </w:rPr>
        <w:t>GB 31650-2019</w:t>
      </w:r>
      <w:r>
        <w:rPr>
          <w:rFonts w:hint="eastAsia" w:ascii="仿宋_GB2312" w:hAnsi="仿宋_GB2312" w:eastAsia="仿宋_GB2312" w:cs="仿宋_GB2312"/>
          <w:color w:val="auto"/>
          <w:sz w:val="32"/>
          <w:szCs w:val="32"/>
        </w:rPr>
        <w:t>《食品安全国家标准 食品中兽药最大残留限量》</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农业农村部公告第250号</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US" w:eastAsia="zh-CN"/>
        </w:rPr>
        <w:t>食品安全国家标准 食品中污染物限量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GB 2763-2021</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val="en-US" w:eastAsia="zh-CN"/>
        </w:rPr>
        <w:t>食品安全国家标准 食品中农药最大残留限量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国家食品药品监督管理总局农业部国家卫生和计划生育委员会关于豆芽生产过程中禁止使用6-苄基腺嘌呤等物质的公告(2015年第11号)</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GB 22556-2008</w:t>
      </w:r>
      <w:r>
        <w:rPr>
          <w:rFonts w:hint="eastAsia" w:ascii="仿宋_GB2312" w:hAnsi="仿宋_GB2312" w:eastAsia="仿宋_GB2312" w:cs="仿宋_GB2312"/>
          <w:color w:val="auto"/>
          <w:sz w:val="32"/>
          <w:szCs w:val="32"/>
        </w:rPr>
        <w:t>《豆芽卫生标准》</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整顿办函〔2010〕50 号</w:t>
      </w:r>
      <w:r>
        <w:rPr>
          <w:rFonts w:hint="eastAsia" w:ascii="仿宋_GB2312" w:hAnsi="仿宋_GB2312" w:eastAsia="仿宋_GB2312" w:cs="仿宋_GB2312"/>
          <w:color w:val="auto"/>
          <w:sz w:val="32"/>
          <w:szCs w:val="32"/>
        </w:rPr>
        <w:t> 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（二）检验项目</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菜豆检验项目为</w:t>
      </w:r>
      <w:r>
        <w:rPr>
          <w:rFonts w:hint="default" w:ascii="仿宋_GB2312" w:hAnsi="仿宋_GB2312" w:eastAsia="仿宋_GB2312" w:cs="仿宋_GB2312"/>
          <w:color w:val="auto"/>
          <w:sz w:val="32"/>
          <w:szCs w:val="32"/>
          <w:lang w:val="en-US" w:eastAsia="zh-CN"/>
        </w:rPr>
        <w:t>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甲胺磷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氟虫腈</w:t>
      </w:r>
      <w:r>
        <w:rPr>
          <w:rFonts w:hint="eastAsia" w:ascii="仿宋_GB2312" w:hAnsi="仿宋_GB2312" w:eastAsia="仿宋_GB2312" w:cs="仿宋_GB2312"/>
          <w:color w:val="auto"/>
          <w:sz w:val="32"/>
          <w:szCs w:val="32"/>
          <w:lang w:val="en-US" w:eastAsia="zh-CN"/>
        </w:rPr>
        <w:t>。</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大白菜检验项目为吡虫啉</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啶虫脒</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毒死蜱</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氟虫腈。</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豆芽检验项目为4-氯苯氧乙酸钠(以4-氯苯氧乙酸计)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6-苄基腺嘌呤(6-BA)</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亚硫酸盐(以SO₂计)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铅(以Pb计)。</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番茄检验项目为克百威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甲胺磷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毒死蜱。</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胡萝卜检验项目为铅(以Pb计)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毒死蜱</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甲拌磷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黄瓜检验项目为克百威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氟虫腈</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腐霉利。</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鸡蛋检验项目为恩诺沙星</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氟苯尼考</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磺胺类(总量)</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甲硝唑</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呋喃唑酮代谢物</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氯霉素。</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鸡肉检验项目为磺胺类(总量)</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恩诺沙星</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五氯酚酸钠(以五氯酚计)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甲氧苄啶</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尼卡巴嗪</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氯霉素。</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姜检验项目为铅(以Pb计)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吡虫啉</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噻虫嗪</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豇豆检验项目为克百威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灭蝇胺</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水胺硫磷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氯氟氰菊酯和高效氯氟氰菊酯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氯氰菊酯和高效氯氰菊酯。</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结球甘蓝检验项目为乙酰甲胺磷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甲胺磷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甲基异柳磷。</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韭菜检验项目为镉(以Cd计)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毒死蜱</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腐霉利</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氯氟氰菊酯和高效氯氟氰菊酯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氯氰菊酯和高效氯氰菊酯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多菌灵。</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辣椒检验项目为镉(以Cd计)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甲胺磷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氯氟氰菊酯和高效氯氟氰菊酯。</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莲藕检验项目为多菌灵</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啶虫脒。</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普通白菜检验项目为阿维菌素</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啶虫脒</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毒死蜱</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氟虫腈</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氯氟氰菊酯和高效氯氟氰菊酯。</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茄子检验项目为镉(以Cd计)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水胺硫磷。</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芹菜检验项目为毒死蜱</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甲拌磷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克百威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氯氟氰菊酯和高效氯氟氰菊酯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氧乐果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氯氰菊酯和高效氯氰菊酯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马拉硫磷。</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羊肉检验项目为恩诺沙星</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克伦特罗</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沙丁胺醇</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呋喃唑酮代谢物。</w:t>
      </w:r>
    </w:p>
    <w:p>
      <w:pPr>
        <w:numPr>
          <w:ilvl w:val="0"/>
          <w:numId w:val="2"/>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猪肉检验项目为恩诺沙星</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氯霉素</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沙丁胺醇</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磺胺类(总量)</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克伦特罗</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氟苯尼考。</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餐饮食品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（一）抽检依据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抽检依据是GB 2760-2014《食品安全国家标准 食品添加剂使用标准》、整顿办函〔2011〕1 号等标准及产品明示标准和指标的要求。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餐饮食品检验项目为</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胭脂红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罂粟碱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吗啡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可待因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那可丁</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糕点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（一）抽检依据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抽检依据是</w:t>
      </w:r>
      <w:r>
        <w:rPr>
          <w:rFonts w:hint="default" w:ascii="仿宋_GB2312" w:hAnsi="仿宋_GB2312" w:eastAsia="仿宋_GB2312" w:cs="仿宋_GB2312"/>
          <w:color w:val="auto"/>
          <w:sz w:val="32"/>
          <w:szCs w:val="32"/>
          <w:lang w:val="en-US" w:eastAsia="zh-CN"/>
        </w:rPr>
        <w:t>GB 7099-2015</w:t>
      </w:r>
      <w:r>
        <w:rPr>
          <w:rFonts w:hint="eastAsia" w:ascii="仿宋_GB2312" w:hAnsi="仿宋_GB2312" w:eastAsia="仿宋_GB2312" w:cs="仿宋_GB2312"/>
          <w:color w:val="auto"/>
          <w:sz w:val="32"/>
          <w:szCs w:val="32"/>
          <w:lang w:val="en-US" w:eastAsia="zh-CN"/>
        </w:rPr>
        <w:t>《食品安全国家标准 糕点、面包》、</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《食品安全国家标准 食品添加剂使用标准》、</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食品安全国家标准 食品中污染物限量</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食品整治办[2009]5号</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糕点检验项目为</w:t>
      </w:r>
      <w:r>
        <w:rPr>
          <w:rFonts w:hint="default" w:ascii="仿宋_GB2312" w:hAnsi="仿宋_GB2312" w:eastAsia="仿宋_GB2312" w:cs="仿宋_GB2312"/>
          <w:color w:val="auto"/>
          <w:sz w:val="32"/>
          <w:szCs w:val="32"/>
          <w:lang w:val="en-US" w:eastAsia="zh-CN"/>
        </w:rPr>
        <w:t>酸价(以脂肪计)(KOH)</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过氧化值(以脂肪计)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苯甲酸及其钠盐(以苯甲酸计)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山梨酸及其钾盐(以山梨酸计)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糖精钠(以糖精计)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铝的残留量(干样品，以Al计)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丙酸及其钠盐、钙盐(以丙酸计)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脱氢乙酸及其钠盐(以脱氢乙酸计)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纳他霉素</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铅(以Pb计)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富马酸二甲酯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甜蜜素(以环己基氨基磺酸计)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三氯蔗糖</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安赛蜜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丙二醇</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调味品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抽检依据是</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食品安全国家标准 食品中污染物限量</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整顿办函[2011]1号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食品整治办[2008]3号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2721-2015</w:t>
      </w:r>
      <w:r>
        <w:rPr>
          <w:rFonts w:hint="eastAsia" w:ascii="仿宋_GB2312" w:hAnsi="仿宋_GB2312" w:eastAsia="仿宋_GB2312" w:cs="仿宋_GB2312"/>
          <w:color w:val="auto"/>
          <w:sz w:val="32"/>
          <w:szCs w:val="32"/>
          <w:lang w:val="en-US" w:eastAsia="zh-CN"/>
        </w:rPr>
        <w:t>《食品安全国家标准 食用盐》、</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《食品安全国家标准 食品添加剂使用标准》、</w:t>
      </w:r>
      <w:r>
        <w:rPr>
          <w:rFonts w:hint="default" w:ascii="仿宋_GB2312" w:hAnsi="仿宋_GB2312" w:eastAsia="仿宋_GB2312" w:cs="仿宋_GB2312"/>
          <w:color w:val="auto"/>
          <w:sz w:val="32"/>
          <w:szCs w:val="32"/>
          <w:lang w:val="en-US" w:eastAsia="zh-CN"/>
        </w:rPr>
        <w:t>GB 26878-2011</w:t>
      </w:r>
      <w:r>
        <w:rPr>
          <w:rFonts w:hint="eastAsia" w:ascii="仿宋_GB2312" w:hAnsi="仿宋_GB2312" w:eastAsia="仿宋_GB2312" w:cs="仿宋_GB2312"/>
          <w:color w:val="auto"/>
          <w:sz w:val="32"/>
          <w:szCs w:val="32"/>
          <w:lang w:val="en-US" w:eastAsia="zh-CN"/>
        </w:rPr>
        <w:t>《食品安全国家标准 食用盐碘含量 》、</w:t>
      </w:r>
      <w:r>
        <w:rPr>
          <w:rFonts w:hint="default" w:ascii="仿宋_GB2312" w:hAnsi="仿宋_GB2312" w:eastAsia="仿宋_GB2312" w:cs="仿宋_GB2312"/>
          <w:color w:val="auto"/>
          <w:sz w:val="32"/>
          <w:szCs w:val="32"/>
          <w:lang w:val="en-US" w:eastAsia="zh-CN"/>
        </w:rPr>
        <w:t>GB 2719-2018</w:t>
      </w:r>
      <w:r>
        <w:rPr>
          <w:rFonts w:hint="eastAsia" w:ascii="仿宋_GB2312" w:hAnsi="仿宋_GB2312" w:eastAsia="仿宋_GB2312" w:cs="仿宋_GB2312"/>
          <w:color w:val="auto"/>
          <w:sz w:val="32"/>
          <w:szCs w:val="32"/>
          <w:lang w:val="en-US" w:eastAsia="zh-CN"/>
        </w:rPr>
        <w:t>《食品安全国家标准 食醋 》等标准及产品明示标准和指标的要求。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调味品的检验项目为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、苏丹红Ⅰ-Ⅳ、</w:t>
      </w:r>
      <w:r>
        <w:rPr>
          <w:rFonts w:hint="default" w:ascii="仿宋" w:hAnsi="仿宋" w:eastAsia="仿宋" w:cs="仿宋"/>
          <w:sz w:val="32"/>
          <w:szCs w:val="32"/>
          <w:lang w:val="en-US" w:eastAsia="zh-CN"/>
        </w:rPr>
        <w:t>罗丹明B</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氯化钠(以干基计)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碘(以I计)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钡(以Ba计)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总砷(以As计)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总汞(以Hg计)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亚铁氰化钾(以亚铁氰根计)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总酸(以乙酸计)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对羟基苯甲酸酯类及其钠盐(对羟基苯甲酸甲酯钠,对羟基苯甲酸乙酯及其钠盐)(以对羟基苯甲酸计)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_GB2312" w:hAnsi="仿宋_GB2312" w:eastAsia="仿宋_GB2312" w:cs="仿宋_GB2312"/>
          <w:color w:val="auto"/>
          <w:sz w:val="32"/>
          <w:szCs w:val="32"/>
          <w:lang w:val="en-US" w:eastAsia="zh-CN"/>
        </w:rPr>
        <w:t>。</w:t>
      </w:r>
    </w:p>
    <w:p>
      <w:pPr>
        <w:numPr>
          <w:ilvl w:val="0"/>
          <w:numId w:val="0"/>
        </w:numPr>
        <w:rPr>
          <w:rFonts w:hint="default" w:ascii="仿宋" w:hAnsi="仿宋" w:cs="仿宋"/>
          <w:i w:val="0"/>
          <w:color w:val="000000"/>
          <w:kern w:val="0"/>
          <w:sz w:val="36"/>
          <w:szCs w:val="36"/>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CDAB52"/>
    <w:multiLevelType w:val="singleLevel"/>
    <w:tmpl w:val="BACDAB52"/>
    <w:lvl w:ilvl="0" w:tentative="0">
      <w:start w:val="1"/>
      <w:numFmt w:val="decimal"/>
      <w:suff w:val="nothing"/>
      <w:lvlText w:val="%1．"/>
      <w:lvlJc w:val="left"/>
      <w:pPr>
        <w:ind w:left="0" w:firstLine="400"/>
      </w:pPr>
      <w:rPr>
        <w:rFonts w:hint="default"/>
      </w:rPr>
    </w:lvl>
  </w:abstractNum>
  <w:abstractNum w:abstractNumId="1">
    <w:nsid w:val="13A1CF55"/>
    <w:multiLevelType w:val="singleLevel"/>
    <w:tmpl w:val="13A1CF55"/>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532BA"/>
    <w:rsid w:val="040532BA"/>
    <w:rsid w:val="093D7375"/>
    <w:rsid w:val="11EB4AD6"/>
    <w:rsid w:val="173F5E1F"/>
    <w:rsid w:val="2A300546"/>
    <w:rsid w:val="2CF9054F"/>
    <w:rsid w:val="3EBC5334"/>
    <w:rsid w:val="55A33949"/>
    <w:rsid w:val="7965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6"/>
    <w:basedOn w:val="1"/>
    <w:next w:val="1"/>
    <w:semiHidden/>
    <w:unhideWhenUsed/>
    <w:qFormat/>
    <w:uiPriority w:val="0"/>
    <w:pPr>
      <w:keepNext/>
      <w:keepLines/>
      <w:snapToGrid w:val="0"/>
      <w:spacing w:beforeLines="0" w:beforeAutospacing="0" w:afterLines="0" w:afterAutospacing="0" w:line="360" w:lineRule="auto"/>
      <w:outlineLvl w:val="5"/>
    </w:pPr>
    <w:rPr>
      <w:rFonts w:ascii="Arial" w:hAnsi="Arial" w:eastAsia="黑体" w:cs="Times New Roman"/>
      <w:b/>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widowControl w:val="0"/>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jc w:val="left"/>
      <w:textAlignment w:val="auto"/>
    </w:pPr>
    <w:rPr>
      <w:rFonts w:ascii="Cambria" w:hAnsi="Cambria"/>
      <w:color w:val="auto"/>
      <w:kern w:val="2"/>
      <w:sz w:val="24"/>
      <w:szCs w:val="24"/>
      <w:u w:val="none" w:color="auto"/>
    </w:rPr>
  </w:style>
  <w:style w:type="paragraph" w:styleId="4">
    <w:name w:val="Body Text"/>
    <w:basedOn w:val="1"/>
    <w:qFormat/>
    <w:uiPriority w:val="1"/>
    <w:rPr>
      <w:rFonts w:ascii="宋体" w:hAnsi="宋体" w:eastAsia="仿宋" w:cs="宋体"/>
      <w:sz w:val="32"/>
      <w:szCs w:val="21"/>
      <w:lang w:val="zh-CN" w:bidi="zh-CN"/>
    </w:rPr>
  </w:style>
  <w:style w:type="paragraph" w:styleId="5">
    <w:name w:val="Body Text First Indent"/>
    <w:basedOn w:val="4"/>
    <w:semiHidden/>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2020-10-23T05:33:00Z</dcterms:created>
  <dc:creator>Administrator</dc:creator>
  <cp:lastModifiedBy>秋叶……飘</cp:lastModifiedBy>
  <dcterms:modified xsi:type="dcterms:W3CDTF">2021-10-27T01:25:43Z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AA081862D4B649AF907E7BFB9AA261D3</vt:lpwstr>
  </property>
</Properties>
</file>