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szCs w:val="44"/>
          <w:lang w:val="en-US" w:eastAsia="zh-CN"/>
        </w:rPr>
      </w:pPr>
      <w:bookmarkStart w:id="1" w:name="_GoBack"/>
      <w:r>
        <w:rPr>
          <w:rFonts w:hint="eastAsia" w:ascii="方正小标宋_GBK" w:hAnsi="方正小标宋_GBK" w:eastAsia="方正小标宋_GBK" w:cs="方正小标宋_GBK"/>
          <w:b w:val="0"/>
          <w:szCs w:val="44"/>
          <w:lang w:val="en-US" w:eastAsia="zh-CN"/>
        </w:rPr>
        <w:t>平陆县规划委员会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关于《平陆县茅津路以东、新湖大街以北、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曹风线以西、规划八路以南地块控制性详细规划》等4个控制性详细规划、控制性详细规划修改论证报告和规划条件论证报告的批</w:t>
      </w:r>
      <w:bookmarkStart w:id="0" w:name="OLE_LINK1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后公告</w:t>
      </w:r>
      <w:bookmarkEnd w:id="1"/>
    </w:p>
    <w:p>
      <w:pPr>
        <w:rPr>
          <w:rFonts w:hint="eastAsia" w:ascii="仿宋" w:hAnsi="仿宋" w:cs="仿宋"/>
          <w:spacing w:val="6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一、《平陆县茅津路以东、新湖大街以北、曹风线以西、规划八路以南地块控制性详细规划》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规划项目名称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：</w:t>
      </w: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《平陆县茅津路以东、新湖大街以北、曹风线以西、规划八路以南地块控制性详细规划》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政府审批时间：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2022年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月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56" w:firstLineChars="200"/>
        <w:jc w:val="both"/>
        <w:textAlignment w:val="auto"/>
        <w:outlineLvl w:val="9"/>
        <w:rPr>
          <w:rFonts w:hint="default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批准文号：平政字〔2022〕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号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规划编制单位：</w:t>
      </w:r>
      <w:r>
        <w:rPr>
          <w:rFonts w:hint="eastAsia" w:ascii="仿宋" w:hAnsi="仿宋" w:cs="仿宋"/>
          <w:sz w:val="32"/>
          <w:szCs w:val="32"/>
          <w:lang w:val="en-US" w:eastAsia="zh-CN"/>
        </w:rPr>
        <w:t>中地设计集团有限公司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（一）规划范围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>规划范围为</w:t>
      </w:r>
      <w:r>
        <w:rPr>
          <w:rFonts w:hint="default" w:ascii="仿宋" w:hAnsi="仿宋" w:eastAsia="仿宋" w:cs="仿宋"/>
          <w:kern w:val="2"/>
          <w:sz w:val="32"/>
          <w:szCs w:val="24"/>
          <w:lang w:val="en-US" w:eastAsia="zh-CN" w:bidi="ar-SA"/>
        </w:rPr>
        <w:t>茅津新区的东南部，北临规划八路，西临茅津路，南临新湖大街，东临曹风线。</w:t>
      </w: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>总用地面积32.97公顷，其中，规划建设用地规模31.03公顷。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规划内容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1.</w:t>
      </w:r>
      <w:r>
        <w:rPr>
          <w:rFonts w:hint="eastAsia" w:ascii="仿宋" w:hAnsi="仿宋" w:eastAsia="仿宋" w:cs="仿宋"/>
          <w:lang w:val="en-US" w:eastAsia="zh-CN"/>
        </w:rPr>
        <w:t>用地布局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规划区被中间的规划十六路将分为东西两个街坊。东街坊以工业为主，西街坊以居住为主。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cs="Times New Roman"/>
          <w:lang w:val="en-US" w:eastAsia="zh-CN"/>
        </w:rPr>
        <w:t>居</w:t>
      </w:r>
      <w:r>
        <w:rPr>
          <w:rFonts w:hint="eastAsia" w:ascii="仿宋" w:hAnsi="仿宋" w:eastAsia="仿宋" w:cs="仿宋"/>
          <w:lang w:val="en-US" w:eastAsia="zh-CN"/>
        </w:rPr>
        <w:t>住用地面积11.</w:t>
      </w:r>
      <w:r>
        <w:rPr>
          <w:rFonts w:hint="eastAsia" w:ascii="仿宋" w:hAnsi="仿宋" w:cs="仿宋"/>
          <w:lang w:val="en-US" w:eastAsia="zh-CN"/>
        </w:rPr>
        <w:t>86</w:t>
      </w:r>
      <w:r>
        <w:rPr>
          <w:rFonts w:hint="eastAsia" w:ascii="仿宋" w:hAnsi="仿宋" w:eastAsia="仿宋" w:cs="仿宋"/>
          <w:lang w:val="en-US" w:eastAsia="zh-CN"/>
        </w:rPr>
        <w:t>公顷，为二类城镇住宅用地，占规划区城市建设用地</w:t>
      </w:r>
      <w:r>
        <w:rPr>
          <w:rFonts w:hint="eastAsia" w:ascii="仿宋" w:hAnsi="仿宋" w:cs="仿宋"/>
          <w:lang w:val="en-US" w:eastAsia="zh-CN"/>
        </w:rPr>
        <w:t>38.24</w:t>
      </w:r>
      <w:r>
        <w:rPr>
          <w:rFonts w:hint="eastAsia" w:ascii="仿宋" w:hAnsi="仿宋" w:eastAsia="仿宋" w:cs="仿宋"/>
          <w:lang w:val="en-US" w:eastAsia="zh-CN"/>
        </w:rPr>
        <w:t>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商业服务业用地面积共计0.98公顷，占规划区城市建设用地的3.17%，位于茅津路，主要为零售商业。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工矿用地面积8.</w:t>
      </w:r>
      <w:r>
        <w:rPr>
          <w:rFonts w:hint="eastAsia" w:ascii="仿宋" w:hAnsi="仿宋" w:cs="仿宋"/>
          <w:lang w:val="en-US" w:eastAsia="zh-CN"/>
        </w:rPr>
        <w:t>90</w:t>
      </w:r>
      <w:r>
        <w:rPr>
          <w:rFonts w:hint="eastAsia" w:ascii="仿宋" w:hAnsi="仿宋" w:eastAsia="仿宋" w:cs="仿宋"/>
          <w:lang w:val="en-US" w:eastAsia="zh-CN"/>
        </w:rPr>
        <w:t>公顷，占规划区城市建设用地的 28</w:t>
      </w:r>
      <w:r>
        <w:rPr>
          <w:rFonts w:hint="eastAsia" w:ascii="仿宋" w:hAnsi="仿宋" w:cs="仿宋"/>
          <w:lang w:val="en-US" w:eastAsia="zh-CN"/>
        </w:rPr>
        <w:t>.69</w:t>
      </w:r>
      <w:r>
        <w:rPr>
          <w:rFonts w:hint="eastAsia" w:ascii="仿宋" w:hAnsi="仿宋" w:eastAsia="仿宋" w:cs="仿宋"/>
          <w:lang w:val="en-US" w:eastAsia="zh-CN"/>
        </w:rPr>
        <w:t>%，位于东街坊，均为一类工业用地。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交通运输用地面积共计5.05公顷，占规划区城市建设用地的16.26%，均为城镇道路用地。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公用设施用地总面积为</w:t>
      </w:r>
      <w:r>
        <w:rPr>
          <w:rFonts w:hint="eastAsia" w:ascii="仿宋" w:hAnsi="仿宋" w:cs="仿宋"/>
          <w:lang w:val="en-US" w:eastAsia="zh-CN"/>
        </w:rPr>
        <w:t>0.99</w:t>
      </w:r>
      <w:r>
        <w:rPr>
          <w:rFonts w:hint="eastAsia" w:ascii="仿宋" w:hAnsi="仿宋" w:eastAsia="仿宋" w:cs="仿宋"/>
          <w:lang w:val="en-US" w:eastAsia="zh-CN"/>
        </w:rPr>
        <w:t>公顷，占新区总用地的 2.33%。保留东街坊的变电站以及西街坊西南角的通信公司。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绿地与开敞空间用地面积共计3.</w:t>
      </w:r>
      <w:r>
        <w:rPr>
          <w:rFonts w:hint="eastAsia" w:ascii="仿宋" w:hAnsi="仿宋" w:cs="仿宋"/>
          <w:lang w:val="en-US" w:eastAsia="zh-CN"/>
        </w:rPr>
        <w:t>25</w:t>
      </w:r>
      <w:r>
        <w:rPr>
          <w:rFonts w:hint="eastAsia" w:ascii="仿宋" w:hAnsi="仿宋" w:eastAsia="仿宋" w:cs="仿宋"/>
          <w:lang w:val="en-US" w:eastAsia="zh-CN"/>
        </w:rPr>
        <w:t>公顷，占规划区城市建设用地的</w:t>
      </w:r>
      <w:r>
        <w:rPr>
          <w:rFonts w:hint="eastAsia" w:ascii="仿宋" w:hAnsi="仿宋" w:cs="仿宋"/>
          <w:lang w:val="en-US" w:eastAsia="zh-CN"/>
        </w:rPr>
        <w:t>10.46</w:t>
      </w:r>
      <w:r>
        <w:rPr>
          <w:rFonts w:hint="eastAsia" w:ascii="仿宋" w:hAnsi="仿宋" w:eastAsia="仿宋" w:cs="仿宋"/>
          <w:lang w:val="en-US" w:eastAsia="zh-CN"/>
        </w:rPr>
        <w:t>%，包含西街坊的广场、公园绿地，东街坊的防护绿地。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2.</w:t>
      </w:r>
      <w:r>
        <w:rPr>
          <w:rFonts w:hint="eastAsia" w:ascii="仿宋" w:hAnsi="仿宋" w:eastAsia="仿宋" w:cs="仿宋"/>
          <w:lang w:val="en-US" w:eastAsia="zh-CN"/>
        </w:rPr>
        <w:t>主要控制指标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lang w:val="en-US" w:eastAsia="zh-CN"/>
        </w:rPr>
        <w:t xml:space="preserve"> （1）容积率控制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为增强土地使用的高效性与合理性，优化城市整体景观，基于不同地块的使用性质，将土地按开发的容积率分为5个等级。除工业用地外，容积率控制中所提供容积率为上限，即小于或等于。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①</w:t>
      </w:r>
      <w:r>
        <w:rPr>
          <w:rFonts w:hint="eastAsia" w:ascii="仿宋" w:hAnsi="仿宋" w:eastAsia="仿宋" w:cs="仿宋"/>
          <w:lang w:val="en-US" w:eastAsia="zh-CN"/>
        </w:rPr>
        <w:t>容积率＜0.1，为公园绿地、广场用地。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②</w:t>
      </w:r>
      <w:r>
        <w:rPr>
          <w:rFonts w:hint="eastAsia" w:ascii="仿宋" w:hAnsi="仿宋" w:eastAsia="仿宋" w:cs="仿宋"/>
          <w:lang w:val="en-US" w:eastAsia="zh-CN"/>
        </w:rPr>
        <w:t>容积率≤0.5，为通信用地、供电用地。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③</w:t>
      </w:r>
      <w:r>
        <w:rPr>
          <w:rFonts w:hint="eastAsia" w:ascii="仿宋" w:hAnsi="仿宋" w:eastAsia="仿宋" w:cs="仿宋"/>
          <w:lang w:val="en-US" w:eastAsia="zh-CN"/>
        </w:rPr>
        <w:t>容积率≤1.9，为住宅用地。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④</w:t>
      </w:r>
      <w:r>
        <w:rPr>
          <w:rFonts w:hint="eastAsia" w:ascii="仿宋" w:hAnsi="仿宋" w:eastAsia="仿宋" w:cs="仿宋"/>
          <w:lang w:val="en-US" w:eastAsia="zh-CN"/>
        </w:rPr>
        <w:t>容积率≤2.5，为商业用地。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⑤</w:t>
      </w:r>
      <w:r>
        <w:rPr>
          <w:rFonts w:hint="eastAsia" w:ascii="仿宋" w:hAnsi="仿宋" w:eastAsia="仿宋" w:cs="仿宋"/>
          <w:lang w:val="en-US" w:eastAsia="zh-CN"/>
        </w:rPr>
        <w:t>容积率≥0.9，为一类工业用地。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（2）</w:t>
      </w:r>
      <w:r>
        <w:rPr>
          <w:rFonts w:hint="eastAsia" w:ascii="仿宋" w:hAnsi="仿宋" w:eastAsia="仿宋" w:cs="仿宋"/>
          <w:lang w:val="en-US" w:eastAsia="zh-CN"/>
        </w:rPr>
        <w:t>建筑密度控制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以土地利用的“经济、高效、合理”为原则,根据不同地块的使用性质及国家有关规定，结合城市总体设计和现状条件，将规划区土地的建筑密度划分为5个等级，除工业用地外，建筑密度控制中所提供建筑密度均为上限，即小于或等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①</w:t>
      </w:r>
      <w:r>
        <w:rPr>
          <w:rFonts w:hint="eastAsia" w:ascii="仿宋" w:hAnsi="仿宋" w:eastAsia="仿宋" w:cs="仿宋"/>
          <w:lang w:val="en-US" w:eastAsia="zh-CN"/>
        </w:rPr>
        <w:t>建筑密度≤5%，为公园绿地、广场用地。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②</w:t>
      </w:r>
      <w:r>
        <w:rPr>
          <w:rFonts w:hint="eastAsia" w:ascii="仿宋" w:hAnsi="仿宋" w:eastAsia="仿宋" w:cs="仿宋"/>
          <w:lang w:val="en-US" w:eastAsia="zh-CN"/>
        </w:rPr>
        <w:t>建筑密度≤25%，为通信用地、供电用地。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③</w:t>
      </w:r>
      <w:r>
        <w:rPr>
          <w:rFonts w:hint="eastAsia" w:ascii="仿宋" w:hAnsi="仿宋" w:eastAsia="仿宋" w:cs="仿宋"/>
          <w:lang w:val="en-US" w:eastAsia="zh-CN"/>
        </w:rPr>
        <w:t>建筑密度≤28%，为二类城镇住宅用地。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④</w:t>
      </w:r>
      <w:r>
        <w:rPr>
          <w:rFonts w:hint="eastAsia" w:ascii="仿宋" w:hAnsi="仿宋" w:eastAsia="仿宋" w:cs="仿宋"/>
          <w:lang w:val="en-US" w:eastAsia="zh-CN"/>
        </w:rPr>
        <w:t>建筑密度≤40%，为商业用地。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⑤</w:t>
      </w:r>
      <w:r>
        <w:rPr>
          <w:rFonts w:hint="eastAsia" w:ascii="仿宋" w:hAnsi="仿宋" w:eastAsia="仿宋" w:cs="仿宋"/>
          <w:lang w:val="en-US" w:eastAsia="zh-CN"/>
        </w:rPr>
        <w:t>建筑密度≥40%，为一类工业用地。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cs="仿宋"/>
          <w:lang w:val="en-US" w:eastAsia="zh-CN"/>
        </w:rPr>
        <w:t xml:space="preserve">  （3）</w:t>
      </w:r>
      <w:r>
        <w:rPr>
          <w:rFonts w:hint="eastAsia" w:ascii="仿宋" w:hAnsi="仿宋" w:eastAsia="仿宋" w:cs="仿宋"/>
          <w:lang w:val="en-US" w:eastAsia="zh-CN"/>
        </w:rPr>
        <w:t>绿地率控制规定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建筑基地内的绿地面积占基地面积的比例(以下称绿地率)应当符合《城市居住区规划设计标准》、《工业项目建设用地控制指标》等有关规定，规划区土地的绿地率划分为5个等级，除工业用地外，绿地率控制中所提供绿地率均为下限，即大于或等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①</w:t>
      </w:r>
      <w:r>
        <w:rPr>
          <w:rFonts w:hint="eastAsia" w:ascii="仿宋" w:hAnsi="仿宋" w:eastAsia="仿宋" w:cs="仿宋"/>
          <w:lang w:val="en-US" w:eastAsia="zh-CN"/>
        </w:rPr>
        <w:t>绿地率≥20%，主要为商业用地、通信用地、供电用地。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②</w:t>
      </w:r>
      <w:r>
        <w:rPr>
          <w:rFonts w:hint="eastAsia" w:ascii="仿宋" w:hAnsi="仿宋" w:eastAsia="仿宋" w:cs="仿宋"/>
          <w:lang w:val="en-US" w:eastAsia="zh-CN"/>
        </w:rPr>
        <w:t>绿地率≥35%，主要为广场用地、二类城镇住宅用地。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③</w:t>
      </w:r>
      <w:r>
        <w:rPr>
          <w:rFonts w:hint="eastAsia" w:ascii="仿宋" w:hAnsi="仿宋" w:eastAsia="仿宋" w:cs="仿宋"/>
          <w:lang w:val="en-US" w:eastAsia="zh-CN"/>
        </w:rPr>
        <w:t>绿地率≥70%，主要为公园绿地。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④绿地率≥90%，主要为防护用地。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⑤绿地率≤20%，主要为一类工业用地。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（4）</w:t>
      </w: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>建筑高度控制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>规划区建筑高度分为4个等级，具体如下：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①</w:t>
      </w: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>建筑高度≤6米，主要为公园绿地、广场用地。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②</w:t>
      </w: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>建筑高度≤12米，主要为通信用地、供电用地。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③</w:t>
      </w: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>建筑高度≤24米，主要为商业用地、一类工业用地。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④</w:t>
      </w: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>建筑高度≤36米，主要为二类城镇住宅用地。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default" w:ascii="楷体" w:hAnsi="楷体" w:eastAsia="楷体" w:cs="楷体"/>
          <w:kern w:val="2"/>
          <w:sz w:val="32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24"/>
          <w:lang w:val="en-US" w:eastAsia="zh-CN" w:bidi="ar-SA"/>
        </w:rPr>
        <w:t>（三）《平陆县茅津路以东、新湖大街以北、曹风线以西、规划八路以南地块控制性详细规划》图则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2" w:firstLineChars="200"/>
        <w:textAlignment w:val="auto"/>
        <w:rPr>
          <w:rFonts w:hint="default" w:ascii="仿宋" w:hAnsi="仿宋" w:eastAsia="仿宋" w:cs="仿宋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>1.《平陆县茅津路以东、新湖大街以北、曹风线以西、规划八路以南地块控制性详细规划》东侧地块图则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377825</wp:posOffset>
            </wp:positionV>
            <wp:extent cx="4511675" cy="3188970"/>
            <wp:effectExtent l="0" t="0" r="3175" b="11430"/>
            <wp:wrapSquare wrapText="bothSides"/>
            <wp:docPr id="27" name="图片 27" descr="02东地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2东地块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2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>2.《平陆县茅津路以东、新湖大街以北、曹风线以西、规划八路以南地块控制性详细规划》西侧地块图则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184785</wp:posOffset>
            </wp:positionV>
            <wp:extent cx="4622165" cy="3267710"/>
            <wp:effectExtent l="0" t="0" r="6985" b="8890"/>
            <wp:wrapSquare wrapText="bothSides"/>
            <wp:docPr id="28" name="图片 28" descr="04西地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4西地块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 w:ascii="仿宋" w:hAnsi="仿宋" w:cs="仿宋"/>
          <w:spacing w:val="6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 w:firstLine="656" w:firstLineChars="200"/>
        <w:jc w:val="both"/>
        <w:textAlignment w:val="auto"/>
        <w:outlineLvl w:val="9"/>
        <w:rPr>
          <w:rFonts w:hint="eastAsia" w:ascii="黑体" w:hAnsi="黑体" w:eastAsia="黑体" w:cs="黑体"/>
          <w:spacing w:val="6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6"/>
          <w:sz w:val="32"/>
          <w:szCs w:val="32"/>
          <w:lang w:val="en-US" w:eastAsia="zh-CN"/>
        </w:rPr>
        <w:t>二、《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太阳路东、茅津路西、新湖大街南、规划十路北地块控制性详细规划修改论证报告</w:t>
      </w:r>
      <w:r>
        <w:rPr>
          <w:rFonts w:hint="eastAsia" w:ascii="黑体" w:hAnsi="黑体" w:eastAsia="黑体" w:cs="黑体"/>
          <w:spacing w:val="6"/>
          <w:sz w:val="32"/>
          <w:szCs w:val="32"/>
          <w:lang w:val="en-US" w:eastAsia="zh-CN"/>
        </w:rPr>
        <w:t>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规划项目名称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：《太阳路东、茅津路西、新湖大街南、规划十路北地块控制性详细规划修改论证报告》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政府审批时间：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2022年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月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56" w:firstLineChars="200"/>
        <w:jc w:val="both"/>
        <w:textAlignment w:val="auto"/>
        <w:outlineLvl w:val="9"/>
        <w:rPr>
          <w:rFonts w:hint="default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批准文号：平政字〔2022〕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号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规划编制单位：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陕西中晟规划设计研究院有限公司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56" w:firstLineChars="200"/>
        <w:textAlignment w:val="auto"/>
        <w:outlineLvl w:val="9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spacing w:val="6"/>
          <w:kern w:val="2"/>
          <w:sz w:val="32"/>
          <w:szCs w:val="32"/>
          <w:lang w:val="en-US" w:eastAsia="zh-CN" w:bidi="ar-SA"/>
        </w:rPr>
        <w:t>（一）修改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范围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规划范围为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太阳路</w:t>
      </w:r>
      <w:r>
        <w:rPr>
          <w:rFonts w:hint="eastAsia" w:ascii="仿宋" w:hAnsi="仿宋" w:cs="仿宋"/>
          <w:sz w:val="32"/>
          <w:szCs w:val="32"/>
          <w:lang w:val="en-US" w:eastAsia="zh-CN"/>
        </w:rPr>
        <w:t>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东、茅津路</w:t>
      </w:r>
      <w:r>
        <w:rPr>
          <w:rFonts w:hint="eastAsia" w:ascii="仿宋" w:hAnsi="仿宋" w:cs="仿宋"/>
          <w:sz w:val="32"/>
          <w:szCs w:val="32"/>
          <w:lang w:val="en-US" w:eastAsia="zh-CN"/>
        </w:rPr>
        <w:t>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西、新湖大街</w:t>
      </w:r>
      <w:r>
        <w:rPr>
          <w:rFonts w:hint="eastAsia" w:ascii="仿宋" w:hAnsi="仿宋" w:cs="仿宋"/>
          <w:sz w:val="32"/>
          <w:szCs w:val="32"/>
          <w:lang w:val="en-US" w:eastAsia="zh-CN"/>
        </w:rPr>
        <w:t>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南、规划十路</w:t>
      </w:r>
      <w:r>
        <w:rPr>
          <w:rFonts w:hint="eastAsia" w:ascii="仿宋" w:hAnsi="仿宋" w:cs="仿宋"/>
          <w:sz w:val="32"/>
          <w:szCs w:val="32"/>
          <w:lang w:val="en-US" w:eastAsia="zh-CN"/>
        </w:rPr>
        <w:t>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北，拟修改地块总用地面积50.77公顷（约合762亩）。其中库区面积为22.60公顷（约合339亩），均为335米高程以下区域；非库区面积为28.17公顷（约合423亩）。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56" w:firstLineChars="200"/>
        <w:textAlignment w:val="auto"/>
        <w:rPr>
          <w:rFonts w:hint="eastAsia" w:ascii="楷体" w:hAnsi="楷体" w:eastAsia="楷体" w:cs="楷体"/>
          <w:b w:val="0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spacing w:val="6"/>
          <w:kern w:val="2"/>
          <w:sz w:val="32"/>
          <w:szCs w:val="32"/>
          <w:lang w:val="en-US" w:eastAsia="zh-CN" w:bidi="ar-SA"/>
        </w:rPr>
        <w:t>（二）修改内容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 xml:space="preserve">1.用地布局修改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依据三门峡库区范围线的划定结果，将原控规中位于库区范围内的建设用地按照《国土空间调查、规划、用途管制用地用海分类指南（试行）》中确定的“其他土地（23）”进行修改调整，将其作为非建设用地进行管控，后期根据城市发展建设需求，作为生态绿地使用，实现生态效益与环境效益的统一。</w:t>
      </w:r>
      <w:r>
        <w:rPr>
          <w:rFonts w:hint="eastAsia" w:ascii="仿宋" w:hAnsi="仿宋" w:eastAsia="仿宋" w:cs="仿宋"/>
          <w:b/>
          <w:bCs/>
          <w:lang w:val="en-US" w:eastAsia="zh-CN"/>
        </w:rPr>
        <w:t xml:space="preserve">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 xml:space="preserve">2.用地性质修改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>将地块东北侧部分零售商业用地调整为二类城镇住宅用地（070102）；将地块西北侧部分住宅用地（二类）、服务设施用地及公园绿地调整为文化用地（0803）。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 xml:space="preserve">将拟修改地块太阳路东侧部分和库区范围线交叉形成的沿街边角地，规划修改为零售商业用地（090101）；将拟修改地块内其余用地，包括部分服务设施用地、零售商业用地、公园绿地及防护绿地均将其用地性质修改为二类城镇住宅用地（070102）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3.控制指标修改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cs="仿宋"/>
          <w:b/>
          <w:bCs/>
          <w:lang w:val="en-US" w:eastAsia="zh-CN"/>
        </w:rPr>
        <w:t>（1）</w:t>
      </w:r>
      <w:r>
        <w:rPr>
          <w:rFonts w:hint="eastAsia" w:ascii="仿宋" w:hAnsi="仿宋" w:eastAsia="仿宋" w:cs="仿宋"/>
          <w:b/>
          <w:bCs/>
          <w:lang w:val="en-US" w:eastAsia="zh-CN"/>
        </w:rPr>
        <w:t>容积率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规划将容积率分为四个等级。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①</w:t>
      </w:r>
      <w:r>
        <w:rPr>
          <w:rFonts w:hint="eastAsia" w:ascii="仿宋" w:hAnsi="仿宋" w:eastAsia="仿宋" w:cs="仿宋"/>
          <w:lang w:val="en-US" w:eastAsia="zh-CN"/>
        </w:rPr>
        <w:t>0.05＜容积率≤0.1，主要为沿街带状公园绿地及部分块状公园绿地等。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②</w:t>
      </w:r>
      <w:r>
        <w:rPr>
          <w:rFonts w:hint="eastAsia" w:ascii="仿宋" w:hAnsi="仿宋" w:eastAsia="仿宋" w:cs="仿宋"/>
          <w:lang w:val="en-US" w:eastAsia="zh-CN"/>
        </w:rPr>
        <w:t>1.0＜容积率≤1.5，主要为文化用地。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③</w:t>
      </w:r>
      <w:r>
        <w:rPr>
          <w:rFonts w:hint="eastAsia" w:ascii="仿宋" w:hAnsi="仿宋" w:eastAsia="仿宋" w:cs="仿宋"/>
          <w:lang w:val="en-US" w:eastAsia="zh-CN"/>
        </w:rPr>
        <w:t>1.</w:t>
      </w:r>
      <w:r>
        <w:rPr>
          <w:rFonts w:hint="eastAsia" w:ascii="仿宋" w:hAnsi="仿宋" w:cs="仿宋"/>
          <w:lang w:val="en-US" w:eastAsia="zh-CN"/>
        </w:rPr>
        <w:t>5</w:t>
      </w:r>
      <w:r>
        <w:rPr>
          <w:rFonts w:hint="eastAsia" w:ascii="仿宋" w:hAnsi="仿宋" w:eastAsia="仿宋" w:cs="仿宋"/>
          <w:lang w:val="en-US" w:eastAsia="zh-CN"/>
        </w:rPr>
        <w:t>＜容积率≤2.0，主要为二类城镇住宅用地。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④2.0</w:t>
      </w:r>
      <w:r>
        <w:rPr>
          <w:rFonts w:hint="eastAsia" w:ascii="仿宋" w:hAnsi="仿宋" w:eastAsia="仿宋" w:cs="仿宋"/>
          <w:lang w:val="en-US" w:eastAsia="zh-CN"/>
        </w:rPr>
        <w:t>＜容积率≤2.</w:t>
      </w:r>
      <w:r>
        <w:rPr>
          <w:rFonts w:hint="eastAsia" w:ascii="仿宋" w:hAnsi="仿宋" w:cs="仿宋"/>
          <w:lang w:val="en-US" w:eastAsia="zh-CN"/>
        </w:rPr>
        <w:t>5</w:t>
      </w:r>
      <w:r>
        <w:rPr>
          <w:rFonts w:hint="eastAsia" w:ascii="仿宋" w:hAnsi="仿宋" w:eastAsia="仿宋" w:cs="仿宋"/>
          <w:lang w:val="en-US" w:eastAsia="zh-CN"/>
        </w:rPr>
        <w:t>，主要为零售商业用地。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cs="仿宋"/>
          <w:b/>
          <w:bCs/>
          <w:lang w:val="en-US" w:eastAsia="zh-CN"/>
        </w:rPr>
        <w:t>（2）</w:t>
      </w:r>
      <w:r>
        <w:rPr>
          <w:rFonts w:hint="eastAsia" w:ascii="仿宋" w:hAnsi="仿宋" w:eastAsia="仿宋" w:cs="仿宋"/>
          <w:b/>
          <w:bCs/>
          <w:lang w:val="en-US" w:eastAsia="zh-CN"/>
        </w:rPr>
        <w:t>建筑密度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规划将建筑密度分为四个等级。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①</w:t>
      </w:r>
      <w:r>
        <w:rPr>
          <w:rFonts w:hint="eastAsia" w:ascii="仿宋" w:hAnsi="仿宋" w:eastAsia="仿宋" w:cs="仿宋"/>
          <w:lang w:val="en-US" w:eastAsia="zh-CN"/>
        </w:rPr>
        <w:t>0%＜建筑密度≤5%，主要为沿街带状公园绿地及部分块状公园绿地等。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②5</w:t>
      </w:r>
      <w:r>
        <w:rPr>
          <w:rFonts w:hint="eastAsia" w:ascii="仿宋" w:hAnsi="仿宋" w:eastAsia="仿宋" w:cs="仿宋"/>
          <w:lang w:val="en-US" w:eastAsia="zh-CN"/>
        </w:rPr>
        <w:t>%＜建筑密度≤</w:t>
      </w:r>
      <w:r>
        <w:rPr>
          <w:rFonts w:hint="eastAsia" w:ascii="仿宋" w:hAnsi="仿宋" w:cs="仿宋"/>
          <w:lang w:val="en-US" w:eastAsia="zh-CN"/>
        </w:rPr>
        <w:t>2</w:t>
      </w:r>
      <w:r>
        <w:rPr>
          <w:rFonts w:hint="eastAsia" w:ascii="仿宋" w:hAnsi="仿宋" w:eastAsia="仿宋" w:cs="仿宋"/>
          <w:lang w:val="en-US" w:eastAsia="zh-CN"/>
        </w:rPr>
        <w:t>5%，主要为二类城镇住宅用地。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③</w:t>
      </w:r>
      <w:r>
        <w:rPr>
          <w:rFonts w:hint="eastAsia" w:ascii="仿宋" w:hAnsi="仿宋" w:eastAsia="仿宋" w:cs="仿宋"/>
          <w:lang w:val="en-US" w:eastAsia="zh-CN"/>
        </w:rPr>
        <w:t>25%＜建筑密度≤30%，主要为文化用地。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④</w:t>
      </w:r>
      <w:r>
        <w:rPr>
          <w:rFonts w:hint="eastAsia" w:ascii="仿宋" w:hAnsi="仿宋" w:eastAsia="仿宋" w:cs="仿宋"/>
          <w:lang w:val="en-US" w:eastAsia="zh-CN"/>
        </w:rPr>
        <w:t>30%＜建筑密度≤35%，主要为零售商业用地。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cs="仿宋"/>
          <w:b/>
          <w:bCs/>
          <w:lang w:val="en-US" w:eastAsia="zh-CN"/>
        </w:rPr>
        <w:t>（3）</w:t>
      </w:r>
      <w:r>
        <w:rPr>
          <w:rFonts w:hint="eastAsia" w:ascii="仿宋" w:hAnsi="仿宋" w:eastAsia="仿宋" w:cs="仿宋"/>
          <w:b/>
          <w:bCs/>
          <w:lang w:val="en-US" w:eastAsia="zh-CN"/>
        </w:rPr>
        <w:t>绿地率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规划将绿地率分为四个等级。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①</w:t>
      </w:r>
      <w:r>
        <w:rPr>
          <w:rFonts w:hint="eastAsia" w:ascii="仿宋" w:hAnsi="仿宋" w:eastAsia="仿宋" w:cs="仿宋"/>
          <w:lang w:val="en-US" w:eastAsia="zh-CN"/>
        </w:rPr>
        <w:t>90%≤绿地率，主要为沿街带状公园绿地及部分块状公园绿地等。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②</w:t>
      </w:r>
      <w:r>
        <w:rPr>
          <w:rFonts w:hint="eastAsia" w:ascii="仿宋" w:hAnsi="仿宋" w:eastAsia="仿宋" w:cs="仿宋"/>
          <w:lang w:val="en-US" w:eastAsia="zh-CN"/>
        </w:rPr>
        <w:t>35%≤绿地率，主要为二类城镇住宅用地。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③</w:t>
      </w:r>
      <w:r>
        <w:rPr>
          <w:rFonts w:hint="eastAsia" w:ascii="仿宋" w:hAnsi="仿宋" w:eastAsia="仿宋" w:cs="仿宋"/>
          <w:lang w:val="en-US" w:eastAsia="zh-CN"/>
        </w:rPr>
        <w:t>30%≤绿地率，主要为文化用地。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④</w:t>
      </w:r>
      <w:r>
        <w:rPr>
          <w:rFonts w:hint="eastAsia" w:ascii="仿宋" w:hAnsi="仿宋" w:eastAsia="仿宋" w:cs="仿宋"/>
          <w:lang w:val="en-US" w:eastAsia="zh-CN"/>
        </w:rPr>
        <w:t>20%≤绿地率，主要为零售商业用地。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cs="仿宋"/>
          <w:b/>
          <w:bCs/>
          <w:lang w:val="en-US" w:eastAsia="zh-CN"/>
        </w:rPr>
        <w:t>（4）</w:t>
      </w:r>
      <w:r>
        <w:rPr>
          <w:rFonts w:hint="eastAsia" w:ascii="仿宋" w:hAnsi="仿宋" w:eastAsia="仿宋" w:cs="仿宋"/>
          <w:b/>
          <w:bCs/>
          <w:lang w:val="en-US" w:eastAsia="zh-CN"/>
        </w:rPr>
        <w:t>建筑高度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规划将建筑高度分为三个等级</w:t>
      </w:r>
      <w:r>
        <w:rPr>
          <w:rFonts w:hint="eastAsia" w:ascii="仿宋" w:hAnsi="仿宋" w:cs="仿宋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①</w:t>
      </w:r>
      <w:r>
        <w:rPr>
          <w:rFonts w:hint="eastAsia" w:ascii="仿宋" w:hAnsi="仿宋" w:eastAsia="仿宋" w:cs="仿宋"/>
          <w:lang w:val="en-US" w:eastAsia="zh-CN"/>
        </w:rPr>
        <w:t>建筑高度≤6m，主要指沿街带状公园绿地及部分块状公园绿地等。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②</w:t>
      </w:r>
      <w:r>
        <w:rPr>
          <w:rFonts w:hint="eastAsia" w:ascii="仿宋" w:hAnsi="仿宋" w:eastAsia="仿宋" w:cs="仿宋"/>
          <w:lang w:val="en-US" w:eastAsia="zh-CN"/>
        </w:rPr>
        <w:t>建筑高度≤18m，主要指零售商业用地。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③</w:t>
      </w:r>
      <w:r>
        <w:rPr>
          <w:rFonts w:hint="eastAsia" w:ascii="仿宋" w:hAnsi="仿宋" w:eastAsia="仿宋" w:cs="仿宋"/>
          <w:lang w:val="en-US" w:eastAsia="zh-CN"/>
        </w:rPr>
        <w:t>建筑高度≤24m，主要指文化用地及二类城镇住宅用地。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32" w:firstLineChars="200"/>
        <w:textAlignment w:val="auto"/>
        <w:rPr>
          <w:rFonts w:hint="eastAsia" w:ascii="楷体" w:hAnsi="楷体" w:eastAsia="楷体" w:cs="楷体"/>
          <w:kern w:val="2"/>
          <w:sz w:val="32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24"/>
          <w:lang w:val="en-US" w:eastAsia="zh-CN" w:bidi="ar-SA"/>
        </w:rPr>
        <w:t>《太阳路东、茅津路西、新湖大街南、规划十路北地块控制性详细规划修改论证报告》图则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>1.《太阳路东、茅津路西、新湖大街南、规划十路北地块控制性详细规划修改论证报告》西北侧地块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177165</wp:posOffset>
            </wp:positionV>
            <wp:extent cx="3780790" cy="2715260"/>
            <wp:effectExtent l="0" t="0" r="10160" b="8890"/>
            <wp:wrapSquare wrapText="bothSides"/>
            <wp:docPr id="29" name="图片 29" descr="00a46a0cee5b4043af1c01a8e488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0a46a0cee5b4043af1c01a8e48872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ind w:firstLine="632" w:firstLineChars="200"/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</w:pPr>
    </w:p>
    <w:p>
      <w:pPr>
        <w:ind w:firstLine="632" w:firstLineChars="200"/>
        <w:rPr>
          <w:rFonts w:hint="default"/>
          <w:lang w:val="en-US" w:eastAsia="zh-CN"/>
        </w:rPr>
      </w:pP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2.</w:t>
      </w: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>《太阳路东、茅津路西、新湖大街南、规划十路北地块控制性详细规划修改论证报告》</w:t>
      </w: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东</w:t>
      </w: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>北侧地块</w:t>
      </w:r>
    </w:p>
    <w:p>
      <w:pPr>
        <w:pStyle w:val="2"/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72390</wp:posOffset>
            </wp:positionV>
            <wp:extent cx="3822065" cy="2750820"/>
            <wp:effectExtent l="0" t="0" r="6985" b="11430"/>
            <wp:wrapSquare wrapText="bothSides"/>
            <wp:docPr id="30" name="图片 30" descr="26bc855a2204ed90444df21313c59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6bc855a2204ed90444df21313c59e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32" w:firstLineChars="200"/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</w:pPr>
    </w:p>
    <w:p>
      <w:pPr>
        <w:ind w:firstLine="632" w:firstLineChars="200"/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</w:pPr>
    </w:p>
    <w:p>
      <w:pPr>
        <w:ind w:firstLine="632" w:firstLineChars="200"/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</w:pPr>
    </w:p>
    <w:p>
      <w:pPr>
        <w:ind w:firstLine="632" w:firstLineChars="200"/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</w:pPr>
    </w:p>
    <w:p>
      <w:pPr>
        <w:ind w:firstLine="632" w:firstLineChars="200"/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</w:pPr>
    </w:p>
    <w:p>
      <w:pPr>
        <w:ind w:firstLine="632" w:firstLineChars="200"/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</w:pPr>
    </w:p>
    <w:p>
      <w:pPr>
        <w:ind w:firstLine="632" w:firstLineChars="200"/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</w:pPr>
    </w:p>
    <w:p>
      <w:pPr>
        <w:ind w:firstLine="632" w:firstLineChars="200"/>
        <w:rPr>
          <w:rFonts w:hint="default"/>
          <w:lang w:val="en-US" w:eastAsia="zh-CN"/>
        </w:rPr>
      </w:pP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3.</w:t>
      </w: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>《太阳路东、茅津路西、新湖大街南、规划十路北地块控制性详细规划修改论证报告》</w:t>
      </w: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西南</w:t>
      </w: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>侧地块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152400</wp:posOffset>
            </wp:positionV>
            <wp:extent cx="3966845" cy="2847340"/>
            <wp:effectExtent l="0" t="0" r="14605" b="10160"/>
            <wp:wrapTopAndBottom/>
            <wp:docPr id="31" name="图片 31" descr="a836a8017e5a82f668ebba0bcf198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836a8017e5a82f668ebba0bcf198f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684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32" w:firstLineChars="200"/>
        <w:rPr>
          <w:rFonts w:hint="default"/>
          <w:lang w:val="en-US" w:eastAsia="zh-CN"/>
        </w:rPr>
      </w:pP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4.</w:t>
      </w: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>《太阳路东、茅津路西、新湖大街南、规划十路北地块控制性详细规划修改论证报告》</w:t>
      </w:r>
      <w:r>
        <w:rPr>
          <w:rFonts w:hint="eastAsia" w:ascii="仿宋" w:hAnsi="仿宋" w:cs="仿宋"/>
          <w:kern w:val="2"/>
          <w:sz w:val="32"/>
          <w:szCs w:val="24"/>
          <w:lang w:val="en-US" w:eastAsia="zh-CN" w:bidi="ar-SA"/>
        </w:rPr>
        <w:t>东南</w:t>
      </w:r>
      <w:r>
        <w:rPr>
          <w:rFonts w:hint="eastAsia" w:ascii="仿宋" w:hAnsi="仿宋" w:eastAsia="仿宋" w:cs="仿宋"/>
          <w:kern w:val="2"/>
          <w:sz w:val="32"/>
          <w:szCs w:val="24"/>
          <w:lang w:val="en-US" w:eastAsia="zh-CN" w:bidi="ar-SA"/>
        </w:rPr>
        <w:t>侧地块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187325</wp:posOffset>
            </wp:positionV>
            <wp:extent cx="3973830" cy="2860040"/>
            <wp:effectExtent l="0" t="0" r="7620" b="16510"/>
            <wp:wrapSquare wrapText="bothSides"/>
            <wp:docPr id="32" name="图片 32" descr="eade68a1e602b93e43ed83952d9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ade68a1e602b93e43ed83952d933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56" w:firstLineChars="200"/>
        <w:jc w:val="both"/>
        <w:textAlignment w:val="auto"/>
        <w:outlineLvl w:val="0"/>
        <w:rPr>
          <w:rFonts w:hint="eastAsia" w:ascii="黑体" w:hAnsi="黑体" w:eastAsia="黑体" w:cs="黑体"/>
          <w:spacing w:val="6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6"/>
          <w:sz w:val="32"/>
          <w:szCs w:val="32"/>
          <w:lang w:val="en-US" w:eastAsia="zh-CN"/>
        </w:rPr>
        <w:t>《平陆县2021年第四批次建设用地复晟铝业西北侧地块规划条件论证报告》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规划项目名称：《平陆县2021年第四批次建设用地复晟铝业西北侧地块规划条件论证报告》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政府审批时间：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2022年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月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56" w:firstLineChars="200"/>
        <w:jc w:val="both"/>
        <w:textAlignment w:val="auto"/>
        <w:outlineLvl w:val="9"/>
        <w:rPr>
          <w:rFonts w:hint="default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批准文号：平政字〔2022〕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号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32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规划编制单位：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陕西中晟规划设计研究院有限公司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（一）论证报告范围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56" w:firstLineChars="200"/>
        <w:textAlignment w:val="auto"/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cs="仿宋"/>
          <w:spacing w:val="6"/>
          <w:kern w:val="2"/>
          <w:sz w:val="32"/>
          <w:szCs w:val="32"/>
          <w:lang w:val="en-US" w:eastAsia="zh-CN" w:bidi="ar-SA"/>
        </w:rPr>
        <w:t>地块</w:t>
      </w:r>
      <w:r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  <w:t>位于平陆煤电铝材一体化产业园区内，山西复晟铝业有限公司西北侧。拟建项目总用地面积为11.6805公顷（合175.2075亩）。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32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（二）用地性质和主要控制指标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631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规划用地性质：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二类工业用地。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规划控制指标：容积率≥0.</w:t>
      </w:r>
      <w:r>
        <w:rPr>
          <w:rFonts w:hint="eastAsia" w:ascii="仿宋" w:hAnsi="仿宋" w:cs="仿宋"/>
          <w:kern w:val="2"/>
          <w:sz w:val="32"/>
          <w:szCs w:val="32"/>
          <w:lang w:val="en-US" w:eastAsia="zh-CN" w:bidi="ar-SA"/>
        </w:rPr>
        <w:t>6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，建筑密度≥</w:t>
      </w:r>
      <w:r>
        <w:rPr>
          <w:rFonts w:hint="eastAsia" w:ascii="仿宋" w:hAnsi="仿宋" w:cs="仿宋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0%，绿地率≤20%，建筑高度为低层、多层（≤50米）。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（三）《平陆县2021年第四批次建设用地复晟铝业西北侧地块规划条件论证报告》图则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firstLine="472" w:firstLineChars="20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31750</wp:posOffset>
            </wp:positionV>
            <wp:extent cx="3611880" cy="2550160"/>
            <wp:effectExtent l="0" t="0" r="7620" b="2540"/>
            <wp:wrapSquare wrapText="bothSides"/>
            <wp:docPr id="33" name="图片 33" descr="7cb1df97f37ac9a69ccabca7be5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7cb1df97f37ac9a69ccabca7be525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32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《平陆县2021年第四批次建设用地复晟铝业东侧地块规划条件论证报告》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jc w:val="both"/>
        <w:textAlignment w:val="auto"/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规划项目名称：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《平陆县2021年第四批次建设用地复晟铝业东侧地块规划条件论证报告》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政府审批时间：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2022年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月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56" w:firstLineChars="200"/>
        <w:jc w:val="both"/>
        <w:textAlignment w:val="auto"/>
        <w:outlineLvl w:val="9"/>
        <w:rPr>
          <w:rFonts w:hint="default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批准文号：平政字〔2022〕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20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规划编制单位：</w:t>
      </w:r>
      <w:r>
        <w:rPr>
          <w:rFonts w:hint="eastAsia" w:ascii="仿宋" w:hAnsi="仿宋" w:eastAsia="仿宋" w:cs="仿宋"/>
          <w:b w:val="0"/>
          <w:kern w:val="2"/>
          <w:sz w:val="32"/>
          <w:szCs w:val="32"/>
          <w:lang w:val="en-US" w:eastAsia="zh-CN" w:bidi="ar-SA"/>
        </w:rPr>
        <w:t>陕西中晟规划设计研究院有限公司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7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（一）论证报告范围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56" w:firstLineChars="200"/>
        <w:textAlignment w:val="auto"/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cs="仿宋"/>
          <w:spacing w:val="6"/>
          <w:kern w:val="2"/>
          <w:sz w:val="32"/>
          <w:szCs w:val="32"/>
          <w:lang w:val="en-US" w:eastAsia="zh-CN" w:bidi="ar-SA"/>
        </w:rPr>
        <w:t>地块</w:t>
      </w:r>
      <w:r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  <w:t>位于平陆煤电铝材一体化产业园区内，山西复晟铝业有限公司东侧。拟建项目总用地面积为2.1655公顷（合 32.4825亩）</w:t>
      </w:r>
      <w:r>
        <w:rPr>
          <w:rFonts w:hint="eastAsia" w:ascii="仿宋" w:hAnsi="仿宋" w:cs="仿宋"/>
          <w:spacing w:val="6"/>
          <w:kern w:val="2"/>
          <w:sz w:val="32"/>
          <w:szCs w:val="32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32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（二）用地性质和主要控制指标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631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规划用地性质：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二类工业用地。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32" w:firstLineChars="200"/>
        <w:textAlignment w:val="auto"/>
        <w:rPr>
          <w:rFonts w:hint="default" w:ascii="黑体" w:hAnsi="黑体" w:eastAsia="黑体" w:cs="黑体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规划控制指标：容积率≥0.</w:t>
      </w:r>
      <w:r>
        <w:rPr>
          <w:rFonts w:hint="eastAsia" w:ascii="仿宋" w:hAnsi="仿宋" w:cs="仿宋"/>
          <w:kern w:val="2"/>
          <w:sz w:val="32"/>
          <w:szCs w:val="32"/>
          <w:lang w:val="en-US" w:eastAsia="zh-CN" w:bidi="ar-SA"/>
        </w:rPr>
        <w:t>9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，建筑密度≥</w:t>
      </w:r>
      <w:r>
        <w:rPr>
          <w:rFonts w:hint="eastAsia" w:ascii="仿宋" w:hAnsi="仿宋" w:cs="仿宋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0%，绿地率≤20%，建筑高度为低层、多层（≤50米）。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 w:firstLineChars="20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（三）《平陆县2021年第四批次建设用地复晟铝业东侧地块规划条件论证报告》图则</w:t>
      </w:r>
    </w:p>
    <w:p>
      <w:pPr>
        <w:ind w:firstLine="632" w:firstLineChars="20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1155065</wp:posOffset>
            </wp:positionH>
            <wp:positionV relativeFrom="paragraph">
              <wp:posOffset>90170</wp:posOffset>
            </wp:positionV>
            <wp:extent cx="2495550" cy="1762125"/>
            <wp:effectExtent l="0" t="0" r="0" b="9525"/>
            <wp:wrapSquare wrapText="bothSides"/>
            <wp:docPr id="34" name="图片 34" descr="8f30c606b76a6383a166fc6ab16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f30c606b76a6383a166fc6ab1664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32" w:firstLineChars="200"/>
        <w:rPr>
          <w:rFonts w:hint="eastAsia" w:ascii="黑体" w:hAnsi="黑体" w:eastAsia="黑体" w:cs="黑体"/>
          <w:lang w:val="en-US" w:eastAsia="zh-CN"/>
        </w:rPr>
      </w:pPr>
    </w:p>
    <w:p>
      <w:pPr>
        <w:ind w:firstLine="632" w:firstLineChars="200"/>
        <w:rPr>
          <w:rFonts w:hint="eastAsia" w:ascii="黑体" w:hAnsi="黑体" w:eastAsia="黑体" w:cs="黑体"/>
          <w:lang w:val="en-US" w:eastAsia="zh-CN"/>
        </w:rPr>
      </w:pPr>
    </w:p>
    <w:p>
      <w:pPr>
        <w:ind w:firstLine="632" w:firstLineChars="200"/>
        <w:rPr>
          <w:rFonts w:hint="eastAsia" w:ascii="黑体" w:hAnsi="黑体" w:eastAsia="黑体" w:cs="黑体"/>
          <w:lang w:val="en-US" w:eastAsia="zh-CN"/>
        </w:rPr>
      </w:pPr>
    </w:p>
    <w:p>
      <w:pPr>
        <w:ind w:firstLine="632" w:firstLineChars="200"/>
        <w:rPr>
          <w:rFonts w:hint="eastAsia" w:ascii="黑体" w:hAnsi="黑体" w:eastAsia="黑体" w:cs="黑体"/>
          <w:lang w:val="en-US" w:eastAsia="zh-CN"/>
        </w:rPr>
      </w:pPr>
    </w:p>
    <w:p>
      <w:pPr>
        <w:ind w:firstLine="632" w:firstLineChars="200"/>
      </w:pPr>
      <w:r>
        <w:rPr>
          <w:rFonts w:hint="eastAsia" w:ascii="楷体" w:hAnsi="楷体" w:eastAsia="楷体" w:cs="楷体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</w:t>
      </w:r>
      <w:r>
        <w:rPr>
          <w:rFonts w:hint="eastAsia" w:ascii="仿宋" w:hAnsi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年</w:t>
      </w:r>
      <w:r>
        <w:rPr>
          <w:rFonts w:hint="eastAsia" w:ascii="仿宋" w:hAnsi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月</w:t>
      </w:r>
      <w:r>
        <w:rPr>
          <w:rFonts w:hint="eastAsia" w:ascii="仿宋" w:hAnsi="仿宋" w:cs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日</w:t>
      </w:r>
      <w:r>
        <w:rPr>
          <w:rFonts w:hint="eastAsia" w:ascii="仿宋" w:hAnsi="仿宋" w:cs="仿宋"/>
          <w:sz w:val="32"/>
          <w:szCs w:val="32"/>
          <w:lang w:val="en-US" w:eastAsia="zh-CN"/>
        </w:rPr>
        <w:t xml:space="preserve"> </w:t>
      </w:r>
      <w:bookmarkEnd w:id="0"/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1906" w:h="16838"/>
      <w:pgMar w:top="2098" w:right="1474" w:bottom="1984" w:left="1588" w:header="851" w:footer="1400" w:gutter="0"/>
      <w:pgNumType w:fmt="decimal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hint="eastAsia" w:ascii="宋体" w:hAnsi="宋体" w:eastAsia="宋体" w:cs="宋体"/>
        <w:sz w:val="28"/>
        <w:lang w:eastAsia="zh-CN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instrText xml:space="preserve"> PAGE \* Arabic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instrText xml:space="preserve"> PAGE \* Arabic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22FDE"/>
    <w:multiLevelType w:val="singleLevel"/>
    <w:tmpl w:val="00022FD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3B158FE"/>
    <w:multiLevelType w:val="singleLevel"/>
    <w:tmpl w:val="13B158FE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27101D6B"/>
    <w:multiLevelType w:val="singleLevel"/>
    <w:tmpl w:val="27101D6B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kNzIxOWYzYjg2ZDE3ZmNhMjkxY2Q4ZWMwNmY3ZGYifQ=="/>
  </w:docVars>
  <w:rsids>
    <w:rsidRoot w:val="00000000"/>
    <w:rsid w:val="02543B44"/>
    <w:rsid w:val="07F24A78"/>
    <w:rsid w:val="09741BF2"/>
    <w:rsid w:val="10274422"/>
    <w:rsid w:val="110B1B91"/>
    <w:rsid w:val="133B2479"/>
    <w:rsid w:val="26281756"/>
    <w:rsid w:val="28705616"/>
    <w:rsid w:val="35850032"/>
    <w:rsid w:val="36157F22"/>
    <w:rsid w:val="442363D2"/>
    <w:rsid w:val="4465316A"/>
    <w:rsid w:val="48E3707E"/>
    <w:rsid w:val="4AC0149E"/>
    <w:rsid w:val="4BF70D1F"/>
    <w:rsid w:val="4E701982"/>
    <w:rsid w:val="64456876"/>
    <w:rsid w:val="65254611"/>
    <w:rsid w:val="693575FC"/>
    <w:rsid w:val="69E83E21"/>
    <w:rsid w:val="7A7A2A9B"/>
    <w:rsid w:val="7C67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hint="eastAsia" w:ascii="微软雅黑 Light" w:hAnsi="微软雅黑 Light" w:eastAsia="仿宋" w:cs="微软雅黑 Light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spacing w:line="360" w:lineRule="auto"/>
      <w:ind w:left="420" w:leftChars="200" w:firstLine="640" w:firstLineChars="200"/>
    </w:pPr>
    <w:rPr>
      <w:rFonts w:ascii="宋体" w:hAnsi="宋体"/>
      <w:sz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3203</Words>
  <Characters>3471</Characters>
  <Lines>0</Lines>
  <Paragraphs>0</Paragraphs>
  <TotalTime>3</TotalTime>
  <ScaleCrop>false</ScaleCrop>
  <LinksUpToDate>false</LinksUpToDate>
  <CharactersWithSpaces>3508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2022-04-06T02:15:00Z</dcterms:created>
  <dc:creator>a</dc:creator>
  <cp:lastModifiedBy>句号</cp:lastModifiedBy>
  <cp:lastPrinted>2022-06-07T03:51:00Z</cp:lastPrinted>
  <dcterms:modified xsi:type="dcterms:W3CDTF">2022-06-10T09:53:12Z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3208567024574066BC5FD88624DE8F04</vt:lpwstr>
  </property>
</Properties>
</file>