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附件1</w:t>
      </w:r>
      <w:bookmarkStart w:id="0" w:name="_GoBack"/>
      <w:bookmarkEnd w:id="0"/>
    </w:p>
    <w:p>
      <w:pPr>
        <w:jc w:val="center"/>
        <w:rPr>
          <w:rFonts w:hint="default" w:ascii="黑体" w:hAnsi="黑体" w:eastAsia="黑体" w:cs="黑体"/>
          <w:b w:val="0"/>
          <w:bCs w:val="0"/>
          <w:sz w:val="44"/>
          <w:szCs w:val="44"/>
          <w:lang w:val="en-US" w:eastAsia="zh-CN"/>
        </w:rPr>
      </w:pPr>
      <w:r>
        <w:rPr>
          <w:rFonts w:hint="eastAsia" w:ascii="黑体" w:hAnsi="黑体" w:eastAsia="黑体" w:cs="黑体"/>
          <w:b w:val="0"/>
          <w:bCs w:val="0"/>
          <w:sz w:val="44"/>
          <w:szCs w:val="44"/>
          <w:lang w:val="en-US" w:eastAsia="zh-CN"/>
        </w:rPr>
        <w:t>中共平陆县委宣传部</w:t>
      </w:r>
    </w:p>
    <w:p>
      <w:pPr>
        <w:jc w:val="center"/>
        <w:rPr>
          <w:rFonts w:hint="eastAsia" w:ascii="仿宋_GB2312" w:hAnsi="仿宋_GB2312" w:eastAsia="仿宋_GB2312" w:cs="仿宋_GB2312"/>
          <w:b w:val="0"/>
          <w:bCs w:val="0"/>
          <w:sz w:val="36"/>
          <w:szCs w:val="36"/>
          <w:lang w:val="en-US" w:eastAsia="zh-CN"/>
        </w:rPr>
      </w:pPr>
      <w:r>
        <w:rPr>
          <w:rFonts w:hint="eastAsia" w:ascii="黑体" w:hAnsi="黑体" w:eastAsia="黑体" w:cs="黑体"/>
          <w:b w:val="0"/>
          <w:bCs w:val="0"/>
          <w:sz w:val="44"/>
          <w:szCs w:val="44"/>
          <w:lang w:val="en-US" w:eastAsia="zh-CN"/>
        </w:rPr>
        <w:t>2021年中央补助地方公共文化服务体系建设专项资金绩效自评报告</w:t>
      </w:r>
    </w:p>
    <w:p>
      <w:pPr>
        <w:jc w:val="center"/>
        <w:rPr>
          <w:rFonts w:hint="eastAsia"/>
          <w:b w:val="0"/>
          <w:bCs w:val="0"/>
          <w:sz w:val="32"/>
          <w:szCs w:val="32"/>
          <w:lang w:val="en-US" w:eastAsia="zh-CN"/>
        </w:rPr>
      </w:pPr>
    </w:p>
    <w:p>
      <w:pPr>
        <w:numPr>
          <w:ilvl w:val="0"/>
          <w:numId w:val="0"/>
        </w:num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一、绩效目标分解下达情况</w:t>
      </w:r>
    </w:p>
    <w:p>
      <w:p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2021年中央补助地方公共文化服务体系建设专项资金转移支付31.92万元,市级配套资金6.84万元，县级配套资金6.84万元。行政村农家书屋可由县级新闻出版局根据当地整合资金开展农家书屋图书购置及附属设施建设，</w:t>
      </w:r>
      <w:r>
        <w:rPr>
          <w:rFonts w:hint="eastAsia" w:ascii="仿宋" w:hAnsi="仿宋" w:eastAsia="仿宋" w:cs="仿宋"/>
          <w:sz w:val="32"/>
          <w:szCs w:val="32"/>
          <w:lang w:val="en-US" w:eastAsia="zh-CN"/>
        </w:rPr>
        <w:t>完善公共文化服务体系，深入实施文化惠民工程，丰富群众性文化活动</w:t>
      </w:r>
      <w:r>
        <w:rPr>
          <w:rFonts w:hint="eastAsia" w:ascii="仿宋_GB2312" w:hAnsi="仿宋_GB2312" w:eastAsia="仿宋_GB2312" w:cs="仿宋_GB2312"/>
          <w:b w:val="0"/>
          <w:bCs w:val="0"/>
          <w:sz w:val="32"/>
          <w:szCs w:val="32"/>
          <w:lang w:val="en-US" w:eastAsia="zh-CN"/>
        </w:rPr>
        <w:t>。</w:t>
      </w:r>
    </w:p>
    <w:p>
      <w:pPr>
        <w:numPr>
          <w:ilvl w:val="0"/>
          <w:numId w:val="0"/>
        </w:num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二、绩效目标完成情况分析</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（一）资金投入情况分析</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1.中央下达2021年中央补助地方公共文化服务体系建设专项资金和省、市、县配套资金45.6万元全部到位，资金到位率100%。</w:t>
      </w:r>
    </w:p>
    <w:p>
      <w:pPr>
        <w:numPr>
          <w:ilvl w:val="0"/>
          <w:numId w:val="0"/>
        </w:numPr>
        <w:ind w:leftChars="0"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2.按支出进度安排，2021年中央补助地方公共文化服务体系建设专项资金和省、市、县配套资金支出42.58万元，结余3.02万元，资金使用率93%。</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3.组织开展农家书屋学习科学文化知识、学习奔康致富的技能活动。</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（二）总体绩效目标完成情况分析。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仿宋" w:hAnsi="仿宋" w:eastAsia="仿宋" w:cs="仿宋"/>
          <w:sz w:val="32"/>
          <w:szCs w:val="32"/>
          <w:lang w:val="en-US" w:eastAsia="zh-CN"/>
        </w:rPr>
        <w:t>社会主义新农村建设是中国实现现代化的关键，农村文化建设作为新农村建设中的软力量，为社会主义的新农村建设提供精神动力和智力支持，是促进文化大发展大繁荣的具体措施。党的十九大报告提出“完善公共文化服务体系，深入实施文化惠民工程，丰富群众性文化活动”，农家书屋是一项政府买单、村民享受服务的文化惠民工程。</w:t>
      </w:r>
      <w:r>
        <w:rPr>
          <w:rFonts w:hint="eastAsia" w:ascii="仿宋_GB2312" w:hAnsi="仿宋_GB2312" w:eastAsia="仿宋_GB2312" w:cs="仿宋_GB2312"/>
          <w:b w:val="0"/>
          <w:bCs w:val="0"/>
          <w:sz w:val="32"/>
          <w:szCs w:val="32"/>
          <w:lang w:val="en-US" w:eastAsia="zh-CN"/>
        </w:rPr>
        <w:t>2021年平陆县10个乡镇（办）共有133个行政村，</w:t>
      </w:r>
      <w:r>
        <w:rPr>
          <w:rFonts w:hint="eastAsia" w:ascii="仿宋" w:hAnsi="仿宋" w:eastAsia="仿宋" w:cs="仿宋"/>
          <w:sz w:val="32"/>
          <w:szCs w:val="32"/>
          <w:lang w:val="en-US" w:eastAsia="zh-CN"/>
        </w:rPr>
        <w:t>财教[2013]25号文件要求，农家书屋每村2000元，中央财政负担50%，省市县按照4：3：3比例配套。</w:t>
      </w:r>
      <w:r>
        <w:rPr>
          <w:rFonts w:hint="eastAsia" w:ascii="仿宋_GB2312" w:hAnsi="仿宋_GB2312" w:eastAsia="仿宋_GB2312" w:cs="仿宋_GB2312"/>
          <w:sz w:val="32"/>
          <w:szCs w:val="32"/>
          <w:lang w:val="en-US" w:eastAsia="zh-CN"/>
        </w:rPr>
        <w:t>补充我县133个农村书屋图书。</w:t>
      </w:r>
      <w:r>
        <w:rPr>
          <w:rFonts w:hint="eastAsia" w:ascii="仿宋_GB2312" w:hAnsi="仿宋_GB2312" w:eastAsia="仿宋_GB2312" w:cs="仿宋_GB2312"/>
          <w:sz w:val="32"/>
          <w:szCs w:val="32"/>
        </w:rPr>
        <w:t>每个农家书屋补充出版物平均不少于60种，其中国家目录列入的品种比例要不低于70%，晋版目录列入比例不超过30%。我省今年入选国家目录的</w:t>
      </w:r>
      <w:r>
        <w:rPr>
          <w:rFonts w:hint="eastAsia" w:ascii="仿宋_GB2312" w:hAnsi="仿宋_GB2312" w:eastAsia="仿宋_GB2312" w:cs="仿宋_GB2312"/>
          <w:sz w:val="32"/>
          <w:szCs w:val="32"/>
          <w:lang w:val="en-US" w:eastAsia="zh-CN"/>
        </w:rPr>
        <w:t>27种</w:t>
      </w:r>
      <w:r>
        <w:rPr>
          <w:rFonts w:hint="eastAsia" w:ascii="仿宋_GB2312" w:hAnsi="仿宋_GB2312" w:eastAsia="仿宋_GB2312" w:cs="仿宋_GB2312"/>
          <w:sz w:val="32"/>
          <w:szCs w:val="32"/>
        </w:rPr>
        <w:t>出版物予以重点采购，列入国家目录清单统计。</w:t>
      </w:r>
      <w:r>
        <w:rPr>
          <w:rFonts w:hint="eastAsia" w:ascii="仿宋" w:hAnsi="仿宋" w:eastAsia="仿宋" w:cs="仿宋"/>
          <w:sz w:val="32"/>
          <w:szCs w:val="32"/>
          <w:lang w:val="en-US" w:eastAsia="zh-CN"/>
        </w:rPr>
        <w:t>全县133个行政村全部配备到位，每村配备113本图书和1种（12期）画报期刊。</w:t>
      </w:r>
    </w:p>
    <w:p>
      <w:pPr>
        <w:numPr>
          <w:ilvl w:val="0"/>
          <w:numId w:val="1"/>
        </w:numPr>
        <w:ind w:left="638" w:leftChars="304" w:firstLine="0" w:firstLineChars="0"/>
        <w:rPr>
          <w:rFonts w:hint="eastAsia" w:ascii="仿宋_GB2312" w:hAnsi="仿宋_GB2312" w:eastAsia="仿宋_GB2312" w:cs="仿宋_GB2312"/>
          <w:b w:val="0"/>
          <w:bCs w:val="0"/>
          <w:spacing w:val="-6"/>
          <w:sz w:val="32"/>
          <w:szCs w:val="32"/>
          <w:lang w:val="en-US" w:eastAsia="zh-CN"/>
        </w:rPr>
      </w:pPr>
      <w:r>
        <w:rPr>
          <w:rFonts w:hint="eastAsia" w:ascii="仿宋_GB2312" w:hAnsi="仿宋_GB2312" w:eastAsia="仿宋_GB2312" w:cs="仿宋_GB2312"/>
          <w:b w:val="0"/>
          <w:bCs w:val="0"/>
          <w:spacing w:val="-6"/>
          <w:sz w:val="32"/>
          <w:szCs w:val="32"/>
          <w:lang w:val="en-US" w:eastAsia="zh-CN"/>
        </w:rPr>
        <w:t>绩效指标完成情况分析。</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加大农村文化建设的宣传力度，各村建立健全免费开放管理制度，“农家书屋”要实现长久良好的运行，需要强化管理。并公示免费开放内容、服务项目、开放时间、管理办法等群众须知的制度措施。定期对农家书屋建设活动开展情况进行检查验收、评级定星，促使农家书屋建设事业蓬勃发展、促进社会和谐稳定。要设专人专岗负责“农家书屋”的日常工作，形成规范的岗位职责，定期征求村民的阅读建议；另一方面，要创新管理理念，引入新的管理人才，高校的下乡“新青年”等引进到“农家书屋”的管理中，教村民识字阅读、搭建读书交流的线上线下平台。</w:t>
      </w:r>
    </w:p>
    <w:p>
      <w:pPr>
        <w:numPr>
          <w:ilvl w:val="0"/>
          <w:numId w:val="0"/>
        </w:numPr>
        <w:ind w:firstLine="616"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pacing w:val="-6"/>
          <w:sz w:val="32"/>
          <w:szCs w:val="32"/>
          <w:lang w:val="en-US" w:eastAsia="zh-CN"/>
        </w:rPr>
        <w:t>1.</w:t>
      </w:r>
      <w:r>
        <w:rPr>
          <w:rFonts w:hint="eastAsia" w:ascii="仿宋_GB2312" w:hAnsi="仿宋_GB2312" w:eastAsia="仿宋_GB2312" w:cs="仿宋_GB2312"/>
          <w:b w:val="0"/>
          <w:bCs w:val="0"/>
          <w:sz w:val="32"/>
          <w:szCs w:val="32"/>
          <w:lang w:val="en-US" w:eastAsia="zh-CN"/>
        </w:rPr>
        <w:t>产出指标完成情况分析。</w:t>
      </w:r>
    </w:p>
    <w:p>
      <w:pPr>
        <w:numPr>
          <w:ilvl w:val="0"/>
          <w:numId w:val="0"/>
        </w:numPr>
        <w:ind w:firstLine="640" w:firstLineChars="2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（1）数量指标。农家书屋配送涉及133个村</w:t>
      </w:r>
    </w:p>
    <w:p>
      <w:pPr>
        <w:numPr>
          <w:ilvl w:val="0"/>
          <w:numId w:val="0"/>
        </w:numPr>
        <w:ind w:firstLine="640" w:firstLineChars="2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（2）质量指标。书籍配送覆盖率100%</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（3）时效指标。项目经费拨付及时</w:t>
      </w:r>
    </w:p>
    <w:p>
      <w:p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（4）成本指标。2021年中央补助地方公共文化服务体系建设专项资金转移支付31.92万元,市级配套资金6.84万元，县级配套资金6.84万元。</w:t>
      </w:r>
    </w:p>
    <w:p>
      <w:pPr>
        <w:numPr>
          <w:ilvl w:val="0"/>
          <w:numId w:val="0"/>
        </w:numPr>
        <w:ind w:leftChars="0"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2.效益指标完成情况分析。</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（1）经济效益。到农家书屋学习科学文化知识、学习奔康致富的技能，为提高生产生活质量奠定了一定基础。 </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（2）社会效益。建设“农家书屋”是文化惠民政策的重要体现，对于丰富农村群众的精神文化生活，提高农民整体素质，提高致富奔康本领，都有着深远意义。</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（3）生态效益。本项目不涉及生态效益</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（4）可持续影响。本项目不涉及可持续影响</w:t>
      </w:r>
    </w:p>
    <w:p>
      <w:pPr>
        <w:widowControl w:val="0"/>
        <w:numPr>
          <w:ilvl w:val="0"/>
          <w:numId w:val="0"/>
        </w:numPr>
        <w:ind w:leftChars="0"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3.满意度指标完成情况分析。</w:t>
      </w:r>
    </w:p>
    <w:p>
      <w:pPr>
        <w:widowControl w:val="0"/>
        <w:numPr>
          <w:ilvl w:val="0"/>
          <w:numId w:val="0"/>
        </w:numPr>
        <w:ind w:leftChars="0"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“农家书屋”是村级文化阵地，有着至关重要的作用，农村群众获取“精神食粮”的好地方</w:t>
      </w:r>
    </w:p>
    <w:p>
      <w:pPr>
        <w:numPr>
          <w:ilvl w:val="0"/>
          <w:numId w:val="2"/>
        </w:num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偏离绩效目标的原因和下一步改进措施</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2021年按项目进度已完成绩效目标，下一步加强资金预算和资金审核，严格落实各项支出，确保资金足额及时拨付，形成规范的岗位职责，定期征求村民的阅读建议。</w:t>
      </w:r>
    </w:p>
    <w:p>
      <w:pPr>
        <w:numPr>
          <w:ilvl w:val="0"/>
          <w:numId w:val="0"/>
        </w:num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四、绩效自评结果拟应用和公开情况</w:t>
      </w:r>
    </w:p>
    <w:p>
      <w:p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rPr>
        <w:t>通过专项资金绩效自评，进一步提高了资金使用效率，达到了既定的绩效目标。</w:t>
      </w:r>
      <w:r>
        <w:rPr>
          <w:rFonts w:hint="eastAsia" w:ascii="仿宋_GB2312" w:hAnsi="仿宋_GB2312" w:eastAsia="仿宋_GB2312" w:cs="仿宋_GB2312"/>
          <w:b w:val="0"/>
          <w:bCs w:val="0"/>
          <w:sz w:val="32"/>
          <w:szCs w:val="32"/>
          <w:lang w:val="en-US" w:eastAsia="zh-CN"/>
        </w:rPr>
        <w:t>绩效自评结果可为下年专项资金的使用和农家书屋补充更新活动的开展提供借鉴。由财政部门统一公开。</w:t>
      </w:r>
    </w:p>
    <w:p>
      <w:pPr>
        <w:numPr>
          <w:ilvl w:val="0"/>
          <w:numId w:val="0"/>
        </w:num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五、其他需要说明的问题</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无其他需要说明的问题</w:t>
      </w:r>
    </w:p>
    <w:p>
      <w:pPr>
        <w:widowControl w:val="0"/>
        <w:numPr>
          <w:ilvl w:val="0"/>
          <w:numId w:val="0"/>
        </w:numPr>
        <w:jc w:val="both"/>
        <w:rPr>
          <w:rFonts w:hint="eastAsia"/>
          <w:b w:val="0"/>
          <w:bCs w:val="0"/>
          <w:sz w:val="32"/>
          <w:szCs w:val="32"/>
          <w:lang w:val="en-US" w:eastAsia="zh-CN"/>
        </w:rPr>
      </w:pPr>
    </w:p>
    <w:p>
      <w:pPr>
        <w:jc w:val="center"/>
        <w:rPr>
          <w:rFonts w:hint="eastAsia" w:ascii="黑体" w:hAnsi="黑体" w:eastAsia="黑体" w:cs="黑体"/>
          <w:b w:val="0"/>
          <w:bCs w:val="0"/>
          <w:sz w:val="32"/>
          <w:szCs w:val="32"/>
          <w:lang w:val="en-US" w:eastAsia="zh-CN"/>
        </w:rPr>
      </w:pPr>
    </w:p>
    <w:p>
      <w:pPr>
        <w:jc w:val="center"/>
        <w:rPr>
          <w:rFonts w:hint="eastAsia" w:ascii="黑体" w:hAnsi="黑体" w:eastAsia="黑体" w:cs="黑体"/>
          <w:b w:val="0"/>
          <w:bCs w:val="0"/>
          <w:sz w:val="32"/>
          <w:szCs w:val="32"/>
          <w:lang w:val="en-US" w:eastAsia="zh-CN"/>
        </w:rPr>
      </w:pPr>
    </w:p>
    <w:p>
      <w:pPr>
        <w:numPr>
          <w:ilvl w:val="0"/>
          <w:numId w:val="0"/>
        </w:numPr>
        <w:ind w:left="160" w:leftChars="0"/>
        <w:rPr>
          <w:rFonts w:hint="eastAsia"/>
          <w:b w:val="0"/>
          <w:bCs w:val="0"/>
          <w:sz w:val="32"/>
          <w:szCs w:val="32"/>
          <w:lang w:val="en-US" w:eastAsia="zh-CN"/>
        </w:rPr>
      </w:pPr>
    </w:p>
    <w:p>
      <w:pPr>
        <w:ind w:firstLine="640" w:firstLineChars="200"/>
        <w:jc w:val="righ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中共平陆县委宣传部</w:t>
      </w:r>
    </w:p>
    <w:p>
      <w:pPr>
        <w:wordWrap w:val="0"/>
        <w:ind w:firstLine="640" w:firstLineChars="200"/>
        <w:jc w:val="right"/>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2022年3月2日 </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0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3"/>
      <w:numFmt w:val="chineseCounting"/>
      <w:suff w:val="nothing"/>
      <w:lvlText w:val="（%1）"/>
      <w:lvlJc w:val="left"/>
      <w:rPr>
        <w:rFonts w:hint="eastAsia"/>
      </w:rPr>
    </w:lvl>
  </w:abstractNum>
  <w:abstractNum w:abstractNumId="1">
    <w:nsid w:val="00000001"/>
    <w:multiLevelType w:val="singleLevel"/>
    <w:tmpl w:val="00000001"/>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F21D24"/>
    <w:rsid w:val="3F3F385D"/>
    <w:rsid w:val="567B4D23"/>
    <w:rsid w:val="724C498A"/>
    <w:rsid w:val="F3BDE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3">
    <w:name w:val="Default Paragraph Font"/>
    <w:qFormat/>
    <w:uiPriority w:val="0"/>
  </w:style>
  <w:style w:type="table" w:default="1" w:styleId="2">
    <w:name w:val="Normal Table"/>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1406</Words>
  <Characters>1489</Characters>
  <Paragraphs>36</Paragraphs>
  <TotalTime>14</TotalTime>
  <ScaleCrop>false</ScaleCrop>
  <LinksUpToDate>false</LinksUpToDate>
  <CharactersWithSpaces>1492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2021-04-25T17:36:00Z</dcterms:created>
  <dc:creator>lenovo</dc:creator>
  <cp:lastModifiedBy>lenovo</cp:lastModifiedBy>
  <cp:lastPrinted>2022-09-05T09:08:11Z</cp:lastPrinted>
  <dcterms:modified xsi:type="dcterms:W3CDTF">2022-09-05T09:15:18Z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670AABEA448D49B6948BFC15DBCD4D13</vt:lpwstr>
  </property>
</Properties>
</file>