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锦绣宋体" w:hAnsi="锦绣宋体" w:eastAsia="锦绣宋体" w:cs="锦绣宋体"/>
          <w:b/>
          <w:bCs/>
          <w:sz w:val="44"/>
          <w:szCs w:val="44"/>
        </w:rPr>
      </w:pPr>
    </w:p>
    <w:p>
      <w:pPr>
        <w:spacing w:line="610" w:lineRule="exact"/>
        <w:ind w:firstLine="0" w:firstLineChars="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平陆县2022年疫情防控项目资金</w:t>
      </w:r>
    </w:p>
    <w:p>
      <w:pPr>
        <w:spacing w:line="610" w:lineRule="exact"/>
        <w:ind w:firstLine="0" w:firstLineChars="0"/>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t>绩效评价</w:t>
      </w:r>
      <w:r>
        <w:rPr>
          <w:rFonts w:hint="eastAsia" w:ascii="方正小标宋简体" w:hAnsi="方正小标宋简体" w:eastAsia="方正小标宋简体" w:cs="方正小标宋简体"/>
          <w:b/>
          <w:bCs/>
          <w:sz w:val="44"/>
          <w:szCs w:val="44"/>
        </w:rPr>
        <w:t>报告</w:t>
      </w:r>
    </w:p>
    <w:p>
      <w:pPr>
        <w:ind w:firstLine="0" w:firstLineChars="0"/>
        <w:jc w:val="center"/>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t>FG-F15-JXS-其审01</w:t>
      </w:r>
      <w:r>
        <w:rPr>
          <w:rFonts w:hint="eastAsia" w:ascii="宋体" w:hAnsi="宋体" w:eastAsia="宋体" w:cs="宋体"/>
          <w:color w:val="auto"/>
          <w:sz w:val="32"/>
          <w:szCs w:val="32"/>
          <w:lang w:val="en-US" w:eastAsia="zh-CN"/>
        </w:rPr>
        <w:t>1</w:t>
      </w:r>
    </w:p>
    <w:p>
      <w:pPr>
        <w:spacing w:line="360" w:lineRule="auto"/>
        <w:ind w:firstLine="560"/>
        <w:jc w:val="left"/>
        <w:rPr>
          <w:rFonts w:ascii="方正仿宋_GB2312" w:hAnsi="方正仿宋_GB2312" w:eastAsia="方正仿宋_GB2312" w:cs="方正仿宋_GB2312"/>
          <w:szCs w:val="28"/>
        </w:rPr>
      </w:pPr>
    </w:p>
    <w:p>
      <w:pPr>
        <w:spacing w:line="360" w:lineRule="auto"/>
        <w:ind w:firstLine="560"/>
        <w:jc w:val="left"/>
        <w:rPr>
          <w:rFonts w:ascii="方正仿宋_GB2312" w:hAnsi="方正仿宋_GB2312" w:eastAsia="方正仿宋_GB2312" w:cs="方正仿宋_GB2312"/>
          <w:szCs w:val="28"/>
        </w:rPr>
      </w:pPr>
    </w:p>
    <w:p>
      <w:pPr>
        <w:spacing w:line="360" w:lineRule="auto"/>
        <w:ind w:firstLine="560"/>
        <w:jc w:val="left"/>
        <w:rPr>
          <w:rFonts w:ascii="方正仿宋_GB2312" w:hAnsi="方正仿宋_GB2312" w:eastAsia="方正仿宋_GB2312" w:cs="方正仿宋_GB2312"/>
          <w:szCs w:val="28"/>
        </w:rPr>
      </w:pPr>
    </w:p>
    <w:p>
      <w:pPr>
        <w:pStyle w:val="15"/>
        <w:ind w:firstLine="562"/>
        <w:rPr>
          <w:rFonts w:ascii="方正仿宋_GB2312" w:hAnsi="方正仿宋_GB2312" w:eastAsia="方正仿宋_GB2312" w:cs="方正仿宋_GB2312"/>
          <w:sz w:val="28"/>
          <w:szCs w:val="28"/>
        </w:rPr>
      </w:pPr>
    </w:p>
    <w:p>
      <w:pPr>
        <w:ind w:firstLine="560"/>
      </w:pPr>
    </w:p>
    <w:p>
      <w:pPr>
        <w:autoSpaceDE w:val="0"/>
        <w:autoSpaceDN w:val="0"/>
        <w:adjustRightInd w:val="0"/>
        <w:spacing w:line="360" w:lineRule="auto"/>
        <w:ind w:firstLine="640"/>
        <w:rPr>
          <w:rFonts w:ascii="方正仿宋_GB2312" w:hAnsi="方正仿宋_GB2312" w:eastAsia="方正仿宋_GB2312" w:cs="方正仿宋_GB2312"/>
          <w:sz w:val="32"/>
          <w:szCs w:val="32"/>
        </w:rPr>
      </w:pPr>
    </w:p>
    <w:p>
      <w:pPr>
        <w:pStyle w:val="15"/>
        <w:ind w:firstLine="643"/>
        <w:rPr>
          <w:rFonts w:ascii="方正仿宋_GB2312" w:hAnsi="方正仿宋_GB2312" w:eastAsia="方正仿宋_GB2312" w:cs="方正仿宋_GB2312"/>
        </w:rPr>
      </w:pPr>
    </w:p>
    <w:p>
      <w:pPr>
        <w:ind w:firstLine="560"/>
      </w:pPr>
    </w:p>
    <w:p>
      <w:pPr>
        <w:ind w:firstLine="64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委托单位：平陆县财政局</w:t>
      </w:r>
    </w:p>
    <w:p>
      <w:pPr>
        <w:ind w:firstLine="64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评价机构：北京泛华国金会计师事务所（普通合伙）</w:t>
      </w:r>
    </w:p>
    <w:p>
      <w:pPr>
        <w:autoSpaceDE w:val="0"/>
        <w:autoSpaceDN w:val="0"/>
        <w:adjustRightInd w:val="0"/>
        <w:spacing w:line="360" w:lineRule="auto"/>
        <w:ind w:firstLine="0" w:firstLineChars="0"/>
        <w:rPr>
          <w:rFonts w:ascii="方正仿宋_GB2312" w:hAnsi="方正仿宋_GB2312" w:eastAsia="方正仿宋_GB2312" w:cs="方正仿宋_GB2312"/>
          <w:sz w:val="32"/>
          <w:szCs w:val="32"/>
        </w:rPr>
      </w:pPr>
    </w:p>
    <w:p>
      <w:pPr>
        <w:ind w:firstLine="0" w:firstLineChars="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二○二</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lang w:val="en-US" w:eastAsia="zh-CN"/>
        </w:rPr>
        <w:t>九</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lang w:val="en-US" w:eastAsia="zh-CN"/>
        </w:rPr>
        <w:t>十五</w:t>
      </w:r>
      <w:r>
        <w:rPr>
          <w:rFonts w:hint="eastAsia" w:ascii="方正仿宋_GB2312" w:hAnsi="方正仿宋_GB2312" w:eastAsia="方正仿宋_GB2312" w:cs="方正仿宋_GB2312"/>
          <w:sz w:val="32"/>
          <w:szCs w:val="32"/>
        </w:rPr>
        <w:t>日</w:t>
      </w:r>
    </w:p>
    <w:p>
      <w:pPr>
        <w:spacing w:line="360" w:lineRule="auto"/>
        <w:ind w:firstLine="560"/>
        <w:jc w:val="left"/>
        <w:rPr>
          <w:rFonts w:ascii="方正仿宋_GB2312" w:hAnsi="方正仿宋_GB2312" w:eastAsia="方正仿宋_GB2312" w:cs="方正仿宋_GB2312"/>
          <w:szCs w:val="28"/>
        </w:rPr>
      </w:pPr>
    </w:p>
    <w:p>
      <w:pPr>
        <w:pStyle w:val="31"/>
        <w:widowControl w:val="0"/>
        <w:spacing w:before="0" w:line="360" w:lineRule="auto"/>
        <w:ind w:firstLine="562"/>
        <w:jc w:val="center"/>
        <w:rPr>
          <w:rFonts w:ascii="方正仿宋_GB2312" w:hAnsi="方正仿宋_GB2312" w:eastAsia="方正仿宋_GB2312" w:cs="方正仿宋_GB2312"/>
          <w:b/>
          <w:color w:val="auto"/>
          <w:sz w:val="28"/>
          <w:szCs w:val="28"/>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17" w:bottom="1984" w:left="1417"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仿宋" w:hAnsi="仿宋" w:cs="仿宋"/>
          <w:sz w:val="36"/>
          <w:szCs w:val="36"/>
        </w:rPr>
        <w:id w:val="147451183"/>
        <w:docPartObj>
          <w:docPartGallery w:val="Table of Contents"/>
          <w:docPartUnique/>
        </w:docPartObj>
      </w:sdtPr>
      <w:sdtEndPr>
        <w:rPr>
          <w:rFonts w:hint="eastAsia" w:ascii="仿宋" w:hAnsi="仿宋" w:cs="仿宋"/>
          <w:b/>
          <w:bCs/>
          <w:sz w:val="28"/>
          <w:szCs w:val="28"/>
        </w:rPr>
      </w:sdtEndPr>
      <w:sdtContent>
        <w:p>
          <w:pPr>
            <w:pStyle w:val="14"/>
            <w:tabs>
              <w:tab w:val="right" w:leader="dot" w:pos="9072"/>
            </w:tabs>
            <w:ind w:left="560" w:leftChars="200" w:firstLine="720" w:firstLineChars="200"/>
          </w:pPr>
        </w:p>
        <w:sdt>
          <w:sdtPr>
            <w:rPr>
              <w:rFonts w:hint="eastAsia" w:ascii="仿宋" w:hAnsi="仿宋" w:cs="仿宋"/>
              <w:sz w:val="36"/>
              <w:szCs w:val="36"/>
            </w:rPr>
            <w:id w:val="147451183"/>
            <w:docPartObj>
              <w:docPartGallery w:val="Table of Contents"/>
              <w:docPartUnique/>
            </w:docPartObj>
          </w:sdtPr>
          <w:sdtEndPr>
            <w:rPr>
              <w:rFonts w:hint="eastAsia" w:ascii="仿宋" w:hAnsi="仿宋" w:cs="仿宋"/>
              <w:b/>
              <w:bCs/>
              <w:sz w:val="28"/>
              <w:szCs w:val="28"/>
            </w:rPr>
          </w:sdtEndPr>
          <w:sdtContent>
            <w:sdt>
              <w:sdtPr>
                <w:rPr>
                  <w:rFonts w:hint="eastAsia" w:ascii="仿宋" w:hAnsi="仿宋" w:cs="仿宋"/>
                  <w:sz w:val="36"/>
                  <w:szCs w:val="36"/>
                </w:rPr>
                <w:id w:val="147451183"/>
                <w:docPartObj>
                  <w:docPartGallery w:val="Table of Contents"/>
                  <w:docPartUnique/>
                </w:docPartObj>
              </w:sdtPr>
              <w:sdtEndPr>
                <w:rPr>
                  <w:rFonts w:hint="eastAsia" w:ascii="仿宋" w:hAnsi="仿宋" w:cs="仿宋"/>
                  <w:b/>
                  <w:bCs/>
                  <w:sz w:val="28"/>
                  <w:szCs w:val="28"/>
                </w:rPr>
              </w:sdtEndPr>
              <w:sdtContent>
                <w:sdt>
                  <w:sdtPr>
                    <w:rPr>
                      <w:rFonts w:hint="eastAsia" w:ascii="仿宋" w:hAnsi="仿宋" w:cs="仿宋"/>
                      <w:sz w:val="36"/>
                      <w:szCs w:val="36"/>
                    </w:rPr>
                    <w:id w:val="147451183"/>
                    <w:docPartObj>
                      <w:docPartGallery w:val="Table of Contents"/>
                      <w:docPartUnique/>
                    </w:docPartObj>
                  </w:sdtPr>
                  <w:sdtEndPr>
                    <w:rPr>
                      <w:rFonts w:hint="eastAsia" w:ascii="仿宋" w:hAnsi="仿宋" w:cs="仿宋"/>
                      <w:b/>
                      <w:bCs/>
                      <w:sz w:val="28"/>
                      <w:szCs w:val="28"/>
                    </w:rPr>
                  </w:sdtEndPr>
                  <w:sdtContent>
                    <w:p>
                      <w:pPr>
                        <w:tabs>
                          <w:tab w:val="right" w:leader="dot" w:pos="9072"/>
                        </w:tabs>
                        <w:ind w:firstLine="0" w:firstLineChars="0"/>
                        <w:jc w:val="center"/>
                        <w:rPr>
                          <w:rFonts w:ascii="仿宋" w:hAnsi="仿宋" w:cs="仿宋"/>
                          <w:bCs/>
                          <w:szCs w:val="28"/>
                        </w:rPr>
                      </w:pPr>
                      <w:r>
                        <w:rPr>
                          <w:rFonts w:hint="eastAsia" w:ascii="仿宋" w:hAnsi="仿宋" w:cs="仿宋"/>
                          <w:b/>
                          <w:bCs/>
                          <w:sz w:val="36"/>
                          <w:szCs w:val="36"/>
                          <w:highlight w:val="none"/>
                        </w:rPr>
                        <w:t>目录</w:t>
                      </w:r>
                      <w:r>
                        <w:rPr>
                          <w:rFonts w:hint="eastAsia" w:ascii="仿宋" w:hAnsi="仿宋" w:cs="仿宋"/>
                          <w:b/>
                          <w:bCs/>
                          <w:szCs w:val="28"/>
                        </w:rPr>
                        <w:fldChar w:fldCharType="begin"/>
                      </w:r>
                      <w:r>
                        <w:rPr>
                          <w:rFonts w:hint="eastAsia" w:ascii="仿宋" w:hAnsi="仿宋" w:cs="仿宋"/>
                          <w:b/>
                          <w:bCs/>
                          <w:szCs w:val="28"/>
                        </w:rPr>
                        <w:instrText xml:space="preserve">TOC \o "1-2" \h \u </w:instrText>
                      </w:r>
                      <w:r>
                        <w:rPr>
                          <w:rFonts w:hint="eastAsia" w:ascii="仿宋" w:hAnsi="仿宋" w:cs="仿宋"/>
                          <w:b/>
                          <w:bCs/>
                          <w:szCs w:val="28"/>
                        </w:rPr>
                        <w:fldChar w:fldCharType="separate"/>
                      </w:r>
                    </w:p>
                    <w:p>
                      <w:pPr>
                        <w:pStyle w:val="12"/>
                        <w:tabs>
                          <w:tab w:val="right" w:leader="dot" w:pos="9072"/>
                        </w:tabs>
                        <w:ind w:firstLine="560"/>
                      </w:pPr>
                      <w:r>
                        <w:fldChar w:fldCharType="begin"/>
                      </w:r>
                      <w:r>
                        <w:instrText xml:space="preserve"> HYPERLINK \l "_Toc7749" </w:instrText>
                      </w:r>
                      <w:r>
                        <w:fldChar w:fldCharType="separate"/>
                      </w:r>
                      <w:r>
                        <w:rPr>
                          <w:rFonts w:hint="eastAsia"/>
                          <w:szCs w:val="36"/>
                        </w:rPr>
                        <w:t>绩效评价报告摘要</w:t>
                      </w:r>
                      <w:r>
                        <w:tab/>
                      </w:r>
                      <w:r>
                        <w:rPr>
                          <w:rFonts w:hint="eastAsia"/>
                          <w:lang w:val="en-US" w:eastAsia="zh-CN"/>
                        </w:rPr>
                        <w:t>1</w:t>
                      </w:r>
                      <w:r>
                        <w:fldChar w:fldCharType="end"/>
                      </w:r>
                    </w:p>
                    <w:p>
                      <w:pPr>
                        <w:pStyle w:val="12"/>
                        <w:tabs>
                          <w:tab w:val="right" w:leader="dot" w:pos="9072"/>
                        </w:tabs>
                        <w:ind w:firstLine="560"/>
                        <w:rPr>
                          <w:rFonts w:hint="eastAsia" w:eastAsia="仿宋"/>
                          <w:lang w:eastAsia="zh-CN"/>
                        </w:rPr>
                      </w:pPr>
                      <w:r>
                        <w:fldChar w:fldCharType="begin"/>
                      </w:r>
                      <w:r>
                        <w:instrText xml:space="preserve"> HYPERLINK \l "_Toc10300" </w:instrText>
                      </w:r>
                      <w:r>
                        <w:fldChar w:fldCharType="separate"/>
                      </w:r>
                      <w:r>
                        <w:rPr>
                          <w:rFonts w:hint="eastAsia"/>
                          <w:szCs w:val="36"/>
                        </w:rPr>
                        <w:t>绩效评价报告</w:t>
                      </w:r>
                      <w:r>
                        <w:tab/>
                      </w:r>
                      <w:r>
                        <w:fldChar w:fldCharType="end"/>
                      </w:r>
                      <w:r>
                        <w:rPr>
                          <w:rFonts w:hint="eastAsia"/>
                          <w:lang w:val="en-US" w:eastAsia="zh-CN"/>
                        </w:rPr>
                        <w:t>5</w:t>
                      </w:r>
                    </w:p>
                    <w:p>
                      <w:pPr>
                        <w:pStyle w:val="12"/>
                        <w:tabs>
                          <w:tab w:val="right" w:leader="dot" w:pos="9072"/>
                        </w:tabs>
                        <w:ind w:firstLine="560"/>
                        <w:rPr>
                          <w:rFonts w:hint="eastAsia" w:eastAsia="仿宋"/>
                          <w:lang w:eastAsia="zh-CN"/>
                        </w:rPr>
                      </w:pPr>
                      <w:r>
                        <w:fldChar w:fldCharType="begin"/>
                      </w:r>
                      <w:r>
                        <w:instrText xml:space="preserve"> HYPERLINK \l "_Toc12975" </w:instrText>
                      </w:r>
                      <w:r>
                        <w:fldChar w:fldCharType="separate"/>
                      </w:r>
                      <w:r>
                        <w:rPr>
                          <w:rFonts w:hint="eastAsia" w:ascii="仿宋" w:hAnsi="仿宋" w:cs="仿宋"/>
                          <w:bCs/>
                          <w:szCs w:val="28"/>
                        </w:rPr>
                        <w:t>一、基本情况</w:t>
                      </w:r>
                      <w:r>
                        <w:tab/>
                      </w:r>
                      <w:r>
                        <w:fldChar w:fldCharType="end"/>
                      </w:r>
                      <w:r>
                        <w:rPr>
                          <w:rFonts w:hint="eastAsia"/>
                          <w:lang w:val="en-US" w:eastAsia="zh-CN"/>
                        </w:rPr>
                        <w:t>5</w:t>
                      </w:r>
                    </w:p>
                    <w:p>
                      <w:pPr>
                        <w:pStyle w:val="14"/>
                        <w:tabs>
                          <w:tab w:val="right" w:leader="dot" w:pos="9072"/>
                        </w:tabs>
                        <w:ind w:left="560" w:firstLine="560"/>
                        <w:rPr>
                          <w:rFonts w:hint="eastAsia" w:eastAsia="仿宋"/>
                          <w:lang w:eastAsia="zh-CN"/>
                        </w:rPr>
                      </w:pPr>
                      <w:r>
                        <w:fldChar w:fldCharType="begin"/>
                      </w:r>
                      <w:r>
                        <w:instrText xml:space="preserve"> HYPERLINK \l "_Toc11904" </w:instrText>
                      </w:r>
                      <w:r>
                        <w:fldChar w:fldCharType="separate"/>
                      </w:r>
                      <w:r>
                        <w:rPr>
                          <w:rFonts w:hint="eastAsia" w:ascii="仿宋" w:hAnsi="仿宋" w:cs="仿宋"/>
                          <w:bCs/>
                          <w:szCs w:val="28"/>
                        </w:rPr>
                        <w:t>（一）</w:t>
                      </w:r>
                      <w:r>
                        <w:rPr>
                          <w:rFonts w:hint="eastAsia" w:ascii="仿宋" w:hAnsi="仿宋" w:cs="仿宋"/>
                          <w:bCs/>
                          <w:szCs w:val="28"/>
                          <w:lang w:eastAsia="zh-CN"/>
                        </w:rPr>
                        <w:t>立项背景及目的</w:t>
                      </w:r>
                      <w:r>
                        <w:tab/>
                      </w:r>
                      <w:r>
                        <w:fldChar w:fldCharType="end"/>
                      </w:r>
                      <w:r>
                        <w:rPr>
                          <w:rFonts w:hint="eastAsia"/>
                          <w:lang w:val="en-US" w:eastAsia="zh-CN"/>
                        </w:rPr>
                        <w:t>5</w:t>
                      </w:r>
                    </w:p>
                    <w:p>
                      <w:pPr>
                        <w:pStyle w:val="14"/>
                        <w:tabs>
                          <w:tab w:val="right" w:leader="dot" w:pos="9072"/>
                        </w:tabs>
                        <w:ind w:left="560" w:firstLine="560"/>
                        <w:rPr>
                          <w:rFonts w:hint="eastAsia" w:eastAsia="仿宋"/>
                          <w:lang w:eastAsia="zh-CN"/>
                        </w:rPr>
                      </w:pPr>
                      <w:r>
                        <w:fldChar w:fldCharType="begin"/>
                      </w:r>
                      <w:r>
                        <w:instrText xml:space="preserve"> HYPERLINK \l "_Toc27904" </w:instrText>
                      </w:r>
                      <w:r>
                        <w:fldChar w:fldCharType="separate"/>
                      </w:r>
                      <w:r>
                        <w:rPr>
                          <w:rFonts w:hint="eastAsia" w:ascii="仿宋" w:hAnsi="仿宋" w:cs="仿宋"/>
                          <w:bCs/>
                          <w:szCs w:val="28"/>
                        </w:rPr>
                        <w:t>（二）</w:t>
                      </w:r>
                      <w:r>
                        <w:rPr>
                          <w:rFonts w:hint="eastAsia" w:ascii="仿宋" w:hAnsi="仿宋" w:cs="仿宋"/>
                          <w:bCs/>
                          <w:szCs w:val="28"/>
                          <w:lang w:eastAsia="zh-CN"/>
                        </w:rPr>
                        <w:t>立项依据</w:t>
                      </w:r>
                      <w:r>
                        <w:tab/>
                      </w:r>
                      <w:r>
                        <w:fldChar w:fldCharType="end"/>
                      </w:r>
                      <w:r>
                        <w:rPr>
                          <w:rFonts w:hint="eastAsia"/>
                          <w:lang w:val="en-US" w:eastAsia="zh-CN"/>
                        </w:rPr>
                        <w:t>6</w:t>
                      </w:r>
                    </w:p>
                    <w:p>
                      <w:pPr>
                        <w:pStyle w:val="14"/>
                        <w:tabs>
                          <w:tab w:val="right" w:leader="dot" w:pos="9072"/>
                        </w:tabs>
                        <w:ind w:left="560" w:firstLine="560"/>
                        <w:rPr>
                          <w:rFonts w:hint="default" w:eastAsia="仿宋"/>
                          <w:lang w:val="en-US" w:eastAsia="zh-CN"/>
                        </w:rPr>
                      </w:pPr>
                      <w:r>
                        <w:fldChar w:fldCharType="begin"/>
                      </w:r>
                      <w:r>
                        <w:instrText xml:space="preserve"> HYPERLINK \l "_Toc20827" </w:instrText>
                      </w:r>
                      <w:r>
                        <w:fldChar w:fldCharType="separate"/>
                      </w:r>
                      <w:r>
                        <w:rPr>
                          <w:rFonts w:hint="eastAsia" w:ascii="仿宋" w:hAnsi="仿宋" w:cs="仿宋"/>
                          <w:bCs/>
                          <w:szCs w:val="28"/>
                        </w:rPr>
                        <w:t>（三）项目预算及资金使用情况</w:t>
                      </w:r>
                      <w:r>
                        <w:tab/>
                      </w:r>
                      <w:r>
                        <w:fldChar w:fldCharType="end"/>
                      </w:r>
                      <w:r>
                        <w:rPr>
                          <w:rFonts w:hint="eastAsia"/>
                          <w:lang w:val="en-US" w:eastAsia="zh-CN"/>
                        </w:rPr>
                        <w:t>6</w:t>
                      </w:r>
                    </w:p>
                    <w:p>
                      <w:pPr>
                        <w:pStyle w:val="14"/>
                        <w:tabs>
                          <w:tab w:val="right" w:leader="dot" w:pos="9072"/>
                        </w:tabs>
                        <w:ind w:left="560" w:firstLine="560"/>
                        <w:rPr>
                          <w:rFonts w:hint="default" w:eastAsia="仿宋"/>
                          <w:lang w:val="en-US" w:eastAsia="zh-CN"/>
                        </w:rPr>
                      </w:pPr>
                      <w:r>
                        <w:fldChar w:fldCharType="begin"/>
                      </w:r>
                      <w:r>
                        <w:instrText xml:space="preserve"> HYPERLINK \l "_Toc25512" </w:instrText>
                      </w:r>
                      <w:r>
                        <w:fldChar w:fldCharType="separate"/>
                      </w:r>
                      <w:r>
                        <w:rPr>
                          <w:rFonts w:hint="eastAsia" w:ascii="仿宋" w:hAnsi="仿宋" w:cs="仿宋"/>
                          <w:bCs/>
                          <w:szCs w:val="28"/>
                        </w:rPr>
                        <w:t>（四）项目主要内容和实施情况</w:t>
                      </w:r>
                      <w:r>
                        <w:tab/>
                      </w:r>
                      <w:r>
                        <w:fldChar w:fldCharType="end"/>
                      </w:r>
                      <w:r>
                        <w:rPr>
                          <w:rFonts w:hint="eastAsia"/>
                          <w:lang w:val="en-US" w:eastAsia="zh-CN"/>
                        </w:rPr>
                        <w:t>10</w:t>
                      </w:r>
                    </w:p>
                    <w:p>
                      <w:pPr>
                        <w:pStyle w:val="12"/>
                        <w:tabs>
                          <w:tab w:val="right" w:leader="dot" w:pos="9072"/>
                        </w:tabs>
                        <w:ind w:firstLine="560"/>
                        <w:rPr>
                          <w:rFonts w:hint="eastAsia" w:eastAsia="仿宋"/>
                          <w:lang w:eastAsia="zh-CN"/>
                        </w:rPr>
                      </w:pPr>
                      <w:r>
                        <w:fldChar w:fldCharType="begin"/>
                      </w:r>
                      <w:r>
                        <w:instrText xml:space="preserve"> HYPERLINK \l "_Toc8053" </w:instrText>
                      </w:r>
                      <w:r>
                        <w:fldChar w:fldCharType="separate"/>
                      </w:r>
                      <w:r>
                        <w:rPr>
                          <w:rFonts w:hint="eastAsia" w:ascii="仿宋" w:hAnsi="仿宋" w:cs="仿宋"/>
                          <w:bCs/>
                          <w:szCs w:val="28"/>
                        </w:rPr>
                        <w:t>二、绩效评价工作情况</w:t>
                      </w:r>
                      <w:r>
                        <w:tab/>
                      </w:r>
                      <w:r>
                        <w:fldChar w:fldCharType="begin"/>
                      </w:r>
                      <w:r>
                        <w:instrText xml:space="preserve"> PAGEREF _Toc8053 \h </w:instrText>
                      </w:r>
                      <w:r>
                        <w:fldChar w:fldCharType="separate"/>
                      </w:r>
                      <w:r>
                        <w:t>1</w:t>
                      </w:r>
                      <w:r>
                        <w:rPr>
                          <w:rFonts w:hint="eastAsia"/>
                          <w:lang w:val="en-US" w:eastAsia="zh-CN"/>
                        </w:rPr>
                        <w:t>0</w:t>
                      </w:r>
                      <w:r>
                        <w:fldChar w:fldCharType="end"/>
                      </w:r>
                      <w:r>
                        <w:fldChar w:fldCharType="end"/>
                      </w:r>
                    </w:p>
                    <w:p>
                      <w:pPr>
                        <w:pStyle w:val="14"/>
                        <w:tabs>
                          <w:tab w:val="right" w:leader="dot" w:pos="9072"/>
                        </w:tabs>
                        <w:ind w:left="560" w:firstLine="560"/>
                        <w:rPr>
                          <w:rFonts w:hint="eastAsia" w:eastAsia="仿宋"/>
                          <w:lang w:eastAsia="zh-CN"/>
                        </w:rPr>
                      </w:pPr>
                      <w:r>
                        <w:fldChar w:fldCharType="begin"/>
                      </w:r>
                      <w:r>
                        <w:instrText xml:space="preserve"> HYPERLINK \l "_Toc386" </w:instrText>
                      </w:r>
                      <w:r>
                        <w:fldChar w:fldCharType="separate"/>
                      </w:r>
                      <w:r>
                        <w:rPr>
                          <w:rFonts w:hint="eastAsia" w:ascii="仿宋" w:hAnsi="仿宋" w:cs="仿宋"/>
                          <w:bCs/>
                          <w:szCs w:val="28"/>
                        </w:rPr>
                        <w:t>（一）绩效评价的</w:t>
                      </w:r>
                      <w:r>
                        <w:rPr>
                          <w:rFonts w:hint="eastAsia" w:ascii="仿宋" w:hAnsi="仿宋" w:cs="仿宋"/>
                          <w:bCs/>
                          <w:szCs w:val="28"/>
                          <w:lang w:eastAsia="zh-CN"/>
                        </w:rPr>
                        <w:t>目的</w:t>
                      </w:r>
                      <w:r>
                        <w:tab/>
                      </w:r>
                      <w:r>
                        <w:fldChar w:fldCharType="begin"/>
                      </w:r>
                      <w:r>
                        <w:instrText xml:space="preserve"> PAGEREF _Toc386 \h </w:instrText>
                      </w:r>
                      <w:r>
                        <w:fldChar w:fldCharType="separate"/>
                      </w:r>
                      <w:r>
                        <w:t>1</w:t>
                      </w:r>
                      <w:r>
                        <w:rPr>
                          <w:rFonts w:hint="eastAsia"/>
                          <w:lang w:val="en-US" w:eastAsia="zh-CN"/>
                        </w:rPr>
                        <w:t>0</w:t>
                      </w:r>
                      <w:r>
                        <w:fldChar w:fldCharType="end"/>
                      </w:r>
                      <w:r>
                        <w:fldChar w:fldCharType="end"/>
                      </w:r>
                    </w:p>
                    <w:p>
                      <w:pPr>
                        <w:pStyle w:val="14"/>
                        <w:tabs>
                          <w:tab w:val="right" w:leader="dot" w:pos="9072"/>
                        </w:tabs>
                        <w:ind w:left="560" w:firstLine="560"/>
                        <w:rPr>
                          <w:rFonts w:hint="eastAsia" w:eastAsia="仿宋"/>
                          <w:lang w:eastAsia="zh-CN"/>
                        </w:rPr>
                      </w:pPr>
                      <w:r>
                        <w:fldChar w:fldCharType="begin"/>
                      </w:r>
                      <w:r>
                        <w:instrText xml:space="preserve"> HYPERLINK \l "_Toc7954" </w:instrText>
                      </w:r>
                      <w:r>
                        <w:fldChar w:fldCharType="separate"/>
                      </w:r>
                      <w:r>
                        <w:rPr>
                          <w:rFonts w:hint="eastAsia" w:ascii="仿宋" w:hAnsi="仿宋" w:cs="仿宋"/>
                          <w:bCs/>
                          <w:szCs w:val="28"/>
                        </w:rPr>
                        <w:t>（二）绩效评价原则</w:t>
                      </w:r>
                      <w:r>
                        <w:tab/>
                      </w:r>
                      <w:r>
                        <w:fldChar w:fldCharType="begin"/>
                      </w:r>
                      <w:r>
                        <w:instrText xml:space="preserve"> PAGEREF _Toc7954 \h </w:instrText>
                      </w:r>
                      <w:r>
                        <w:fldChar w:fldCharType="separate"/>
                      </w:r>
                      <w:r>
                        <w:t>1</w:t>
                      </w:r>
                      <w:r>
                        <w:rPr>
                          <w:rFonts w:hint="eastAsia"/>
                          <w:lang w:val="en-US" w:eastAsia="zh-CN"/>
                        </w:rPr>
                        <w:t>0</w:t>
                      </w:r>
                      <w:r>
                        <w:fldChar w:fldCharType="end"/>
                      </w:r>
                      <w:r>
                        <w:fldChar w:fldCharType="end"/>
                      </w:r>
                    </w:p>
                    <w:p>
                      <w:pPr>
                        <w:pStyle w:val="14"/>
                        <w:tabs>
                          <w:tab w:val="right" w:leader="dot" w:pos="9072"/>
                        </w:tabs>
                        <w:ind w:left="560" w:firstLine="560"/>
                        <w:rPr>
                          <w:rFonts w:hint="eastAsia" w:eastAsia="仿宋"/>
                          <w:lang w:eastAsia="zh-CN"/>
                        </w:rPr>
                      </w:pPr>
                      <w:r>
                        <w:fldChar w:fldCharType="begin"/>
                      </w:r>
                      <w:r>
                        <w:instrText xml:space="preserve"> HYPERLINK \l "_Toc5289" </w:instrText>
                      </w:r>
                      <w:r>
                        <w:fldChar w:fldCharType="separate"/>
                      </w:r>
                      <w:r>
                        <w:rPr>
                          <w:rFonts w:hint="eastAsia" w:ascii="仿宋" w:hAnsi="仿宋" w:cs="仿宋"/>
                          <w:bCs/>
                          <w:szCs w:val="28"/>
                        </w:rPr>
                        <w:t>（三）绩效评价的方法</w:t>
                      </w:r>
                      <w:r>
                        <w:tab/>
                      </w:r>
                      <w:r>
                        <w:fldChar w:fldCharType="begin"/>
                      </w:r>
                      <w:r>
                        <w:instrText xml:space="preserve"> PAGEREF _Toc5289 \h </w:instrText>
                      </w:r>
                      <w:r>
                        <w:fldChar w:fldCharType="separate"/>
                      </w:r>
                      <w:r>
                        <w:t>1</w:t>
                      </w:r>
                      <w:r>
                        <w:rPr>
                          <w:rFonts w:hint="eastAsia"/>
                          <w:lang w:val="en-US" w:eastAsia="zh-CN"/>
                        </w:rPr>
                        <w:t>1</w:t>
                      </w:r>
                      <w:r>
                        <w:fldChar w:fldCharType="end"/>
                      </w:r>
                      <w:r>
                        <w:fldChar w:fldCharType="end"/>
                      </w:r>
                    </w:p>
                    <w:p>
                      <w:pPr>
                        <w:pStyle w:val="14"/>
                        <w:tabs>
                          <w:tab w:val="right" w:leader="dot" w:pos="9072"/>
                        </w:tabs>
                        <w:ind w:left="560" w:firstLine="560"/>
                        <w:rPr>
                          <w:rFonts w:hint="eastAsia" w:eastAsia="仿宋"/>
                          <w:lang w:eastAsia="zh-CN"/>
                        </w:rPr>
                      </w:pPr>
                      <w:r>
                        <w:fldChar w:fldCharType="begin"/>
                      </w:r>
                      <w:r>
                        <w:instrText xml:space="preserve"> HYPERLINK \l "_Toc15545" </w:instrText>
                      </w:r>
                      <w:r>
                        <w:fldChar w:fldCharType="separate"/>
                      </w:r>
                      <w:r>
                        <w:rPr>
                          <w:rFonts w:hint="eastAsia" w:ascii="仿宋" w:hAnsi="仿宋" w:cs="仿宋"/>
                          <w:bCs/>
                          <w:szCs w:val="28"/>
                        </w:rPr>
                        <w:t>（四）绩效评价依据</w:t>
                      </w:r>
                      <w:r>
                        <w:tab/>
                      </w:r>
                      <w:r>
                        <w:fldChar w:fldCharType="begin"/>
                      </w:r>
                      <w:r>
                        <w:instrText xml:space="preserve"> PAGEREF _Toc15545 \h </w:instrText>
                      </w:r>
                      <w:r>
                        <w:fldChar w:fldCharType="separate"/>
                      </w:r>
                      <w:r>
                        <w:t>1</w:t>
                      </w:r>
                      <w:r>
                        <w:rPr>
                          <w:rFonts w:hint="eastAsia"/>
                          <w:lang w:val="en-US" w:eastAsia="zh-CN"/>
                        </w:rPr>
                        <w:t>2</w:t>
                      </w:r>
                      <w:r>
                        <w:fldChar w:fldCharType="end"/>
                      </w:r>
                      <w:r>
                        <w:fldChar w:fldCharType="end"/>
                      </w:r>
                    </w:p>
                    <w:p>
                      <w:pPr>
                        <w:pStyle w:val="14"/>
                        <w:tabs>
                          <w:tab w:val="right" w:leader="dot" w:pos="9072"/>
                        </w:tabs>
                        <w:ind w:left="560" w:firstLine="560"/>
                        <w:rPr>
                          <w:rFonts w:hint="eastAsia" w:eastAsia="仿宋"/>
                          <w:lang w:eastAsia="zh-CN"/>
                        </w:rPr>
                      </w:pPr>
                      <w:r>
                        <w:fldChar w:fldCharType="begin"/>
                      </w:r>
                      <w:r>
                        <w:instrText xml:space="preserve"> HYPERLINK \l "_Toc3836" </w:instrText>
                      </w:r>
                      <w:r>
                        <w:fldChar w:fldCharType="separate"/>
                      </w:r>
                      <w:r>
                        <w:rPr>
                          <w:rFonts w:hint="eastAsia" w:ascii="仿宋" w:hAnsi="仿宋" w:cs="仿宋"/>
                          <w:bCs/>
                          <w:szCs w:val="28"/>
                        </w:rPr>
                        <w:t>（五）绩效评价指标体系</w:t>
                      </w:r>
                      <w:r>
                        <w:tab/>
                      </w:r>
                      <w:r>
                        <w:fldChar w:fldCharType="begin"/>
                      </w:r>
                      <w:r>
                        <w:instrText xml:space="preserve"> PAGEREF _Toc3836 \h </w:instrText>
                      </w:r>
                      <w:r>
                        <w:fldChar w:fldCharType="separate"/>
                      </w:r>
                      <w:r>
                        <w:t>1</w:t>
                      </w:r>
                      <w:r>
                        <w:rPr>
                          <w:rFonts w:hint="eastAsia"/>
                          <w:lang w:val="en-US" w:eastAsia="zh-CN"/>
                        </w:rPr>
                        <w:t>3</w:t>
                      </w:r>
                      <w:r>
                        <w:fldChar w:fldCharType="end"/>
                      </w:r>
                      <w:r>
                        <w:fldChar w:fldCharType="end"/>
                      </w:r>
                    </w:p>
                    <w:p>
                      <w:pPr>
                        <w:pStyle w:val="14"/>
                        <w:tabs>
                          <w:tab w:val="right" w:leader="dot" w:pos="9072"/>
                        </w:tabs>
                        <w:ind w:left="560" w:firstLine="560"/>
                        <w:rPr>
                          <w:rFonts w:hint="default" w:eastAsia="仿宋"/>
                          <w:lang w:val="en-US" w:eastAsia="zh-CN"/>
                        </w:rPr>
                      </w:pPr>
                      <w:r>
                        <w:fldChar w:fldCharType="begin"/>
                      </w:r>
                      <w:r>
                        <w:instrText xml:space="preserve"> HYPERLINK \l "_Toc18957" </w:instrText>
                      </w:r>
                      <w:r>
                        <w:fldChar w:fldCharType="separate"/>
                      </w:r>
                      <w:r>
                        <w:rPr>
                          <w:rFonts w:hint="eastAsia" w:ascii="仿宋" w:hAnsi="仿宋" w:cs="仿宋"/>
                          <w:bCs/>
                          <w:szCs w:val="28"/>
                        </w:rPr>
                        <w:t>（六）绩效评价工作的组织实施过程</w:t>
                      </w:r>
                      <w:r>
                        <w:tab/>
                      </w:r>
                      <w:r>
                        <w:fldChar w:fldCharType="end"/>
                      </w:r>
                      <w:r>
                        <w:rPr>
                          <w:rFonts w:hint="eastAsia"/>
                          <w:lang w:val="en-US" w:eastAsia="zh-CN"/>
                        </w:rPr>
                        <w:t>14</w:t>
                      </w:r>
                    </w:p>
                    <w:p>
                      <w:pPr>
                        <w:pStyle w:val="12"/>
                        <w:tabs>
                          <w:tab w:val="right" w:leader="dot" w:pos="9072"/>
                        </w:tabs>
                        <w:ind w:firstLine="560"/>
                        <w:rPr>
                          <w:rFonts w:hint="default" w:eastAsia="仿宋"/>
                          <w:lang w:val="en-US" w:eastAsia="zh-CN"/>
                        </w:rPr>
                      </w:pPr>
                      <w:r>
                        <w:fldChar w:fldCharType="begin"/>
                      </w:r>
                      <w:r>
                        <w:instrText xml:space="preserve"> HYPERLINK \l "_Toc4033" </w:instrText>
                      </w:r>
                      <w:r>
                        <w:fldChar w:fldCharType="separate"/>
                      </w:r>
                      <w:r>
                        <w:rPr>
                          <w:rFonts w:hint="eastAsia" w:ascii="仿宋" w:hAnsi="仿宋" w:cs="仿宋"/>
                          <w:bCs/>
                          <w:szCs w:val="28"/>
                        </w:rPr>
                        <w:t>三、评价结论及绩效评价指标</w:t>
                      </w:r>
                      <w:r>
                        <w:rPr>
                          <w:rFonts w:hint="eastAsia" w:ascii="仿宋" w:hAnsi="仿宋" w:cs="仿宋"/>
                          <w:bCs/>
                          <w:szCs w:val="28"/>
                          <w:lang w:eastAsia="zh-CN"/>
                        </w:rPr>
                        <w:t>分析</w:t>
                      </w:r>
                      <w:r>
                        <w:tab/>
                      </w:r>
                      <w:r>
                        <w:fldChar w:fldCharType="end"/>
                      </w:r>
                      <w:r>
                        <w:rPr>
                          <w:rFonts w:hint="eastAsia"/>
                          <w:lang w:val="en-US" w:eastAsia="zh-CN"/>
                        </w:rPr>
                        <w:t>15</w:t>
                      </w:r>
                    </w:p>
                    <w:p>
                      <w:pPr>
                        <w:pStyle w:val="14"/>
                        <w:tabs>
                          <w:tab w:val="right" w:leader="dot" w:pos="9072"/>
                        </w:tabs>
                        <w:ind w:left="560" w:firstLine="560"/>
                        <w:rPr>
                          <w:rFonts w:hint="default" w:eastAsia="仿宋"/>
                          <w:lang w:val="en-US" w:eastAsia="zh-CN"/>
                        </w:rPr>
                      </w:pPr>
                      <w:r>
                        <w:fldChar w:fldCharType="begin"/>
                      </w:r>
                      <w:r>
                        <w:instrText xml:space="preserve"> HYPERLINK \l "_Toc29855" </w:instrText>
                      </w:r>
                      <w:r>
                        <w:fldChar w:fldCharType="separate"/>
                      </w:r>
                      <w:r>
                        <w:rPr>
                          <w:rFonts w:hint="eastAsia" w:ascii="仿宋" w:hAnsi="仿宋" w:cs="仿宋"/>
                          <w:bCs/>
                          <w:szCs w:val="28"/>
                        </w:rPr>
                        <w:t>（一）评价结论</w:t>
                      </w:r>
                      <w:r>
                        <w:tab/>
                      </w:r>
                      <w:r>
                        <w:fldChar w:fldCharType="end"/>
                      </w:r>
                      <w:r>
                        <w:rPr>
                          <w:rFonts w:hint="eastAsia"/>
                          <w:lang w:val="en-US" w:eastAsia="zh-CN"/>
                        </w:rPr>
                        <w:t>16</w:t>
                      </w:r>
                    </w:p>
                    <w:p>
                      <w:pPr>
                        <w:pStyle w:val="14"/>
                        <w:tabs>
                          <w:tab w:val="right" w:leader="dot" w:pos="9072"/>
                        </w:tabs>
                        <w:ind w:left="560" w:firstLine="560"/>
                        <w:rPr>
                          <w:rFonts w:hint="default" w:eastAsia="仿宋"/>
                          <w:lang w:val="en-US" w:eastAsia="zh-CN"/>
                        </w:rPr>
                      </w:pPr>
                      <w:r>
                        <w:fldChar w:fldCharType="begin"/>
                      </w:r>
                      <w:r>
                        <w:instrText xml:space="preserve"> HYPERLINK \l "_Toc5123" </w:instrText>
                      </w:r>
                      <w:r>
                        <w:fldChar w:fldCharType="separate"/>
                      </w:r>
                      <w:r>
                        <w:rPr>
                          <w:rFonts w:hint="eastAsia" w:ascii="仿宋" w:hAnsi="仿宋" w:cs="仿宋"/>
                          <w:bCs/>
                          <w:szCs w:val="28"/>
                        </w:rPr>
                        <w:t>（二）评价指标分析</w:t>
                      </w:r>
                      <w:r>
                        <w:tab/>
                      </w:r>
                      <w:r>
                        <w:fldChar w:fldCharType="end"/>
                      </w:r>
                      <w:r>
                        <w:rPr>
                          <w:rFonts w:hint="eastAsia"/>
                          <w:lang w:val="en-US" w:eastAsia="zh-CN"/>
                        </w:rPr>
                        <w:t>16</w:t>
                      </w:r>
                    </w:p>
                    <w:p>
                      <w:pPr>
                        <w:pStyle w:val="12"/>
                        <w:tabs>
                          <w:tab w:val="right" w:leader="dot" w:pos="9072"/>
                        </w:tabs>
                        <w:ind w:firstLine="560"/>
                        <w:rPr>
                          <w:rFonts w:hint="default" w:eastAsia="仿宋"/>
                          <w:lang w:val="en-US" w:eastAsia="zh-CN"/>
                        </w:rPr>
                      </w:pPr>
                      <w:r>
                        <w:fldChar w:fldCharType="begin"/>
                      </w:r>
                      <w:r>
                        <w:instrText xml:space="preserve"> HYPERLINK \l "_Toc15371" </w:instrText>
                      </w:r>
                      <w:r>
                        <w:fldChar w:fldCharType="separate"/>
                      </w:r>
                      <w:r>
                        <w:rPr>
                          <w:rFonts w:hint="eastAsia" w:ascii="仿宋" w:hAnsi="仿宋" w:cs="仿宋"/>
                          <w:bCs/>
                          <w:szCs w:val="28"/>
                        </w:rPr>
                        <w:t>四、 主要经验及做法</w:t>
                      </w:r>
                      <w:r>
                        <w:tab/>
                      </w:r>
                      <w:r>
                        <w:fldChar w:fldCharType="end"/>
                      </w:r>
                      <w:r>
                        <w:rPr>
                          <w:rFonts w:hint="eastAsia"/>
                          <w:lang w:val="en-US" w:eastAsia="zh-CN"/>
                        </w:rPr>
                        <w:t>23</w:t>
                      </w:r>
                    </w:p>
                    <w:p>
                      <w:pPr>
                        <w:pStyle w:val="12"/>
                        <w:tabs>
                          <w:tab w:val="right" w:leader="dot" w:pos="9072"/>
                        </w:tabs>
                        <w:ind w:firstLine="560"/>
                        <w:rPr>
                          <w:rFonts w:hint="default" w:eastAsia="仿宋"/>
                          <w:lang w:val="en-US" w:eastAsia="zh-CN"/>
                        </w:rPr>
                      </w:pPr>
                      <w:r>
                        <w:fldChar w:fldCharType="begin"/>
                      </w:r>
                      <w:r>
                        <w:instrText xml:space="preserve"> HYPERLINK \l "_Toc8389" </w:instrText>
                      </w:r>
                      <w:r>
                        <w:fldChar w:fldCharType="separate"/>
                      </w:r>
                      <w:r>
                        <w:rPr>
                          <w:rFonts w:hint="eastAsia" w:ascii="仿宋" w:hAnsi="仿宋" w:cs="仿宋"/>
                          <w:bCs/>
                          <w:szCs w:val="28"/>
                        </w:rPr>
                        <w:t>五、 存在的问题</w:t>
                      </w:r>
                      <w:r>
                        <w:tab/>
                      </w:r>
                      <w:r>
                        <w:fldChar w:fldCharType="end"/>
                      </w:r>
                      <w:r>
                        <w:rPr>
                          <w:rFonts w:hint="eastAsia"/>
                          <w:lang w:val="en-US" w:eastAsia="zh-CN"/>
                        </w:rPr>
                        <w:t>24</w:t>
                      </w:r>
                    </w:p>
                    <w:p>
                      <w:pPr>
                        <w:pStyle w:val="12"/>
                        <w:tabs>
                          <w:tab w:val="right" w:leader="dot" w:pos="9072"/>
                        </w:tabs>
                        <w:ind w:firstLine="560"/>
                        <w:rPr>
                          <w:rFonts w:hint="eastAsia" w:eastAsia="仿宋"/>
                          <w:lang w:val="en-US" w:eastAsia="zh-CN"/>
                        </w:rPr>
                      </w:pPr>
                      <w:r>
                        <w:fldChar w:fldCharType="begin"/>
                      </w:r>
                      <w:r>
                        <w:instrText xml:space="preserve"> HYPERLINK \l "_Toc19926" </w:instrText>
                      </w:r>
                      <w:r>
                        <w:fldChar w:fldCharType="separate"/>
                      </w:r>
                      <w:r>
                        <w:rPr>
                          <w:rFonts w:hint="eastAsia" w:ascii="仿宋" w:hAnsi="仿宋" w:cs="仿宋"/>
                          <w:szCs w:val="28"/>
                        </w:rPr>
                        <w:t>附件：</w:t>
                      </w:r>
                      <w:r>
                        <w:tab/>
                      </w:r>
                      <w:r>
                        <w:rPr>
                          <w:rFonts w:hint="eastAsia"/>
                          <w:lang w:val="en-US" w:eastAsia="zh-CN"/>
                        </w:rPr>
                        <w:t>2</w:t>
                      </w:r>
                      <w:r>
                        <w:fldChar w:fldCharType="end"/>
                      </w:r>
                      <w:r>
                        <w:rPr>
                          <w:rFonts w:hint="eastAsia"/>
                          <w:lang w:val="en-US" w:eastAsia="zh-CN"/>
                        </w:rPr>
                        <w:t>5</w:t>
                      </w:r>
                    </w:p>
                    <w:p>
                      <w:pPr>
                        <w:pStyle w:val="14"/>
                        <w:tabs>
                          <w:tab w:val="right" w:leader="dot" w:pos="9072"/>
                        </w:tabs>
                        <w:ind w:left="560" w:firstLine="560"/>
                        <w:rPr>
                          <w:rFonts w:hint="default" w:eastAsia="仿宋"/>
                          <w:lang w:val="en-US" w:eastAsia="zh-CN"/>
                        </w:rPr>
                      </w:pPr>
                    </w:p>
                    <w:p>
                      <w:pPr>
                        <w:tabs>
                          <w:tab w:val="right" w:leader="dot" w:pos="9072"/>
                        </w:tabs>
                        <w:ind w:firstLine="0" w:firstLineChars="0"/>
                        <w:jc w:val="center"/>
                        <w:rPr>
                          <w:rFonts w:hint="eastAsia" w:ascii="仿宋" w:hAnsi="仿宋" w:cs="仿宋"/>
                          <w:b/>
                          <w:bCs/>
                          <w:sz w:val="28"/>
                          <w:szCs w:val="28"/>
                        </w:rPr>
                      </w:pPr>
                      <w:r>
                        <w:rPr>
                          <w:rFonts w:hint="eastAsia" w:ascii="仿宋" w:hAnsi="仿宋" w:cs="仿宋"/>
                          <w:bCs/>
                          <w:szCs w:val="28"/>
                        </w:rPr>
                        <w:fldChar w:fldCharType="end"/>
                      </w:r>
                    </w:p>
                  </w:sdtContent>
                </w:sdt>
                <w:p>
                  <w:pPr>
                    <w:tabs>
                      <w:tab w:val="right" w:leader="dot" w:pos="9072"/>
                    </w:tabs>
                    <w:ind w:firstLine="0" w:firstLineChars="0"/>
                    <w:jc w:val="center"/>
                    <w:rPr>
                      <w:rFonts w:hint="eastAsia" w:ascii="仿宋" w:hAnsi="仿宋" w:cs="仿宋"/>
                      <w:b/>
                      <w:bCs/>
                      <w:sz w:val="28"/>
                      <w:szCs w:val="28"/>
                    </w:rPr>
                  </w:pPr>
                </w:p>
              </w:sdtContent>
            </w:sdt>
            <w:p>
              <w:pPr>
                <w:tabs>
                  <w:tab w:val="right" w:leader="dot" w:pos="9072"/>
                </w:tabs>
                <w:ind w:firstLine="0" w:firstLineChars="0"/>
                <w:jc w:val="center"/>
                <w:rPr>
                  <w:rFonts w:hint="eastAsia" w:ascii="仿宋" w:hAnsi="仿宋" w:cs="仿宋"/>
                  <w:b/>
                  <w:bCs/>
                  <w:sz w:val="28"/>
                  <w:szCs w:val="28"/>
                </w:rPr>
              </w:pPr>
            </w:p>
          </w:sdtContent>
        </w:sdt>
        <w:p>
          <w:pPr>
            <w:tabs>
              <w:tab w:val="right" w:leader="dot" w:pos="9072"/>
            </w:tabs>
            <w:ind w:firstLine="0" w:firstLineChars="0"/>
            <w:jc w:val="center"/>
            <w:rPr>
              <w:rFonts w:ascii="仿宋" w:hAnsi="仿宋" w:cs="仿宋"/>
              <w:b/>
              <w:bCs/>
              <w:szCs w:val="28"/>
            </w:rPr>
          </w:pPr>
        </w:p>
      </w:sdtContent>
    </w:sdt>
    <w:p>
      <w:pPr>
        <w:pStyle w:val="2"/>
        <w:ind w:firstLine="723"/>
        <w:jc w:val="center"/>
        <w:rPr>
          <w:sz w:val="36"/>
          <w:szCs w:val="36"/>
        </w:rPr>
        <w:sectPr>
          <w:headerReference r:id="rId11" w:type="default"/>
          <w:footerReference r:id="rId12" w:type="default"/>
          <w:pgSz w:w="11906" w:h="16838"/>
          <w:pgMar w:top="2098" w:right="1417" w:bottom="1984"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0" w:name="_Toc5878"/>
      <w:bookmarkStart w:id="1" w:name="_Toc20844"/>
    </w:p>
    <w:bookmarkEnd w:id="0"/>
    <w:bookmarkEnd w:id="1"/>
    <w:p>
      <w:pPr>
        <w:pStyle w:val="2"/>
        <w:ind w:firstLine="3050" w:firstLineChars="844"/>
        <w:rPr>
          <w:rFonts w:hint="eastAsia"/>
          <w:sz w:val="36"/>
          <w:szCs w:val="36"/>
        </w:rPr>
      </w:pPr>
      <w:bookmarkStart w:id="2" w:name="_Toc7749"/>
      <w:bookmarkStart w:id="3" w:name="_Toc2502"/>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sectPr>
          <w:footerReference r:id="rId13"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ind w:firstLine="2530" w:firstLineChars="700"/>
        <w:rPr>
          <w:sz w:val="36"/>
          <w:szCs w:val="36"/>
        </w:rPr>
      </w:pPr>
      <w:r>
        <w:rPr>
          <w:rFonts w:hint="eastAsia"/>
          <w:sz w:val="36"/>
          <w:szCs w:val="36"/>
        </w:rPr>
        <w:t>绩效评价报告摘要</w:t>
      </w:r>
      <w:bookmarkEnd w:id="2"/>
      <w:bookmarkEnd w:id="3"/>
    </w:p>
    <w:p>
      <w:pPr>
        <w:spacing w:line="360" w:lineRule="auto"/>
        <w:ind w:firstLine="560"/>
        <w:rPr>
          <w:rFonts w:ascii="仿宋" w:hAnsi="仿宋" w:cs="仿宋"/>
          <w:szCs w:val="28"/>
        </w:rPr>
      </w:pPr>
      <w:r>
        <w:rPr>
          <w:rFonts w:hint="eastAsia" w:ascii="仿宋" w:hAnsi="仿宋" w:cs="仿宋"/>
          <w:szCs w:val="28"/>
        </w:rPr>
        <w:t>为规范和加强财政资金管理，提高资金使用效率，进一步发挥绩效评价对财政资金使用管理的导向和激励作用，根据财政部《关于推进预算绩效管理的指导意见</w:t>
      </w:r>
      <w:r>
        <w:rPr>
          <w:rFonts w:hint="eastAsia" w:ascii="仿宋" w:hAnsi="仿宋" w:cs="仿宋"/>
          <w:szCs w:val="28"/>
          <w:lang w:eastAsia="zh-CN"/>
        </w:rPr>
        <w:t>》《财</w:t>
      </w:r>
      <w:r>
        <w:rPr>
          <w:rFonts w:hint="eastAsia" w:ascii="仿宋" w:hAnsi="仿宋" w:cs="仿宋"/>
          <w:szCs w:val="28"/>
        </w:rPr>
        <w:t>政支出绩效评价管理暂行办法</w:t>
      </w:r>
      <w:r>
        <w:rPr>
          <w:rFonts w:hint="eastAsia" w:ascii="仿宋" w:hAnsi="仿宋" w:cs="仿宋"/>
          <w:szCs w:val="28"/>
          <w:lang w:eastAsia="zh-CN"/>
        </w:rPr>
        <w:t>》《</w:t>
      </w:r>
      <w:r>
        <w:rPr>
          <w:rFonts w:hint="eastAsia" w:ascii="仿宋" w:hAnsi="仿宋" w:cs="仿宋"/>
          <w:szCs w:val="28"/>
          <w:lang w:val="en-US" w:eastAsia="zh-CN"/>
        </w:rPr>
        <w:t>山</w:t>
      </w:r>
      <w:r>
        <w:rPr>
          <w:rFonts w:hint="eastAsia" w:ascii="仿宋" w:hAnsi="仿宋" w:cs="仿宋"/>
          <w:szCs w:val="28"/>
        </w:rPr>
        <w:t>西省预算绩效评价管理办法》及《运城市财政支出绩效评价管理办法》等文件的精神和相关要求，受平陆县财政局委托北京泛华国金会计师事务所（普通合伙）对</w:t>
      </w:r>
      <w:r>
        <w:rPr>
          <w:rFonts w:hint="eastAsia" w:ascii="仿宋" w:hAnsi="仿宋" w:cs="仿宋"/>
          <w:szCs w:val="28"/>
          <w:lang w:eastAsia="zh-CN"/>
        </w:rPr>
        <w:t>平陆县2022年疫情防控项目资金</w:t>
      </w:r>
      <w:r>
        <w:rPr>
          <w:rFonts w:hint="eastAsia" w:ascii="仿宋" w:hAnsi="仿宋" w:cs="仿宋"/>
          <w:szCs w:val="28"/>
        </w:rPr>
        <w:t>开展绩效评价工作。现将绩效评价情况及评价结果报告如下：</w:t>
      </w:r>
    </w:p>
    <w:p>
      <w:pPr>
        <w:numPr>
          <w:ilvl w:val="0"/>
          <w:numId w:val="1"/>
        </w:numPr>
        <w:spacing w:line="610" w:lineRule="exact"/>
        <w:ind w:firstLine="562"/>
        <w:rPr>
          <w:rFonts w:hint="eastAsia" w:ascii="仿宋" w:hAnsi="仿宋" w:cs="仿宋"/>
          <w:b/>
          <w:bCs/>
          <w:szCs w:val="28"/>
        </w:rPr>
      </w:pPr>
      <w:r>
        <w:rPr>
          <w:rFonts w:hint="eastAsia" w:ascii="仿宋" w:hAnsi="仿宋" w:cs="仿宋"/>
          <w:b/>
          <w:bCs/>
          <w:szCs w:val="28"/>
          <w:lang w:val="en-US" w:eastAsia="zh-CN"/>
        </w:rPr>
        <w:t>项目概况</w:t>
      </w:r>
    </w:p>
    <w:p>
      <w:pPr>
        <w:spacing w:line="360" w:lineRule="auto"/>
        <w:ind w:firstLine="560"/>
        <w:rPr>
          <w:rFonts w:hint="eastAsia" w:ascii="仿宋" w:hAnsi="仿宋" w:cs="仿宋"/>
          <w:szCs w:val="28"/>
        </w:rPr>
      </w:pPr>
      <w:r>
        <w:rPr>
          <w:rFonts w:hint="eastAsia" w:ascii="仿宋" w:hAnsi="仿宋" w:cs="仿宋"/>
          <w:szCs w:val="28"/>
        </w:rPr>
        <w:t>20</w:t>
      </w:r>
      <w:r>
        <w:rPr>
          <w:rFonts w:hint="eastAsia" w:ascii="仿宋" w:hAnsi="仿宋" w:cs="仿宋"/>
          <w:szCs w:val="28"/>
          <w:highlight w:val="none"/>
        </w:rPr>
        <w:t xml:space="preserve">20 年 1 </w:t>
      </w:r>
      <w:r>
        <w:rPr>
          <w:rFonts w:hint="eastAsia" w:ascii="仿宋" w:hAnsi="仿宋" w:cs="仿宋"/>
          <w:szCs w:val="28"/>
        </w:rPr>
        <w:t>月，突发而来的新型冠状病毒肺炎疫情在全国各地扩散蔓 延，党中央、国务院高度重视，习近平总书记作出重要指示，要求把人民 群众生命安全和身体健康放在第一位，全力做好防控工作。为全面落实党 中央、国务院和省委、省政府关于疫情防控的决策部署，遏制疫情蔓延势 头，支持打赢疫情防控攻坚战，保障人民群众生命安全和身体健康，山西省人民政府印发《山西省科学防治精准施策分区分级做好新冠肺炎疫情防控工作的实施方案》，要求全省各地要按照“突出重点、统筹兼顾、分类 指导、分区施策 ”的原则分层分区分级响应，精准精确精细化发起抗击疫情歼灭战。</w:t>
      </w:r>
    </w:p>
    <w:p>
      <w:pPr>
        <w:spacing w:line="360" w:lineRule="auto"/>
        <w:ind w:firstLine="560"/>
        <w:rPr>
          <w:rFonts w:hint="eastAsia" w:ascii="仿宋" w:hAnsi="仿宋" w:eastAsia="仿宋" w:cs="仿宋"/>
          <w:spacing w:val="-5"/>
          <w:sz w:val="28"/>
          <w:szCs w:val="28"/>
        </w:rPr>
      </w:pPr>
      <w:r>
        <w:rPr>
          <w:rFonts w:hint="eastAsia" w:ascii="仿宋" w:hAnsi="仿宋" w:cs="仿宋"/>
          <w:szCs w:val="28"/>
        </w:rPr>
        <w:t>根据山西省委、省政府自 2020年1月25日18时起启动重大突发公共卫生事件一级响应公告精神，</w:t>
      </w:r>
      <w:r>
        <w:rPr>
          <w:rFonts w:hint="eastAsia" w:ascii="仿宋" w:hAnsi="仿宋" w:cs="仿宋"/>
          <w:szCs w:val="28"/>
          <w:lang w:eastAsia="zh-CN"/>
        </w:rPr>
        <w:t>平陆县</w:t>
      </w:r>
      <w:r>
        <w:rPr>
          <w:rFonts w:hint="eastAsia" w:ascii="仿宋" w:hAnsi="仿宋" w:cs="仿宋"/>
          <w:szCs w:val="28"/>
        </w:rPr>
        <w:t>人民政府按照《</w:t>
      </w:r>
      <w:r>
        <w:rPr>
          <w:rFonts w:hint="eastAsia" w:ascii="仿宋" w:hAnsi="仿宋" w:cs="仿宋"/>
          <w:szCs w:val="28"/>
          <w:lang w:eastAsia="zh-CN"/>
        </w:rPr>
        <w:t>运城</w:t>
      </w:r>
      <w:r>
        <w:rPr>
          <w:rFonts w:hint="eastAsia" w:ascii="仿宋" w:hAnsi="仿宋" w:cs="仿宋"/>
          <w:szCs w:val="28"/>
        </w:rPr>
        <w:t>市突发公共卫生事件应急预案》要求，决定于1月25日18时起同步启动重大突发公共卫生事件一级响应，成立</w:t>
      </w:r>
      <w:r>
        <w:rPr>
          <w:rFonts w:hint="eastAsia" w:ascii="仿宋" w:hAnsi="仿宋" w:cs="仿宋"/>
          <w:szCs w:val="28"/>
          <w:lang w:eastAsia="zh-CN"/>
        </w:rPr>
        <w:t>平陆县</w:t>
      </w:r>
      <w:r>
        <w:rPr>
          <w:rFonts w:hint="eastAsia" w:ascii="仿宋" w:hAnsi="仿宋" w:cs="仿宋"/>
          <w:szCs w:val="28"/>
        </w:rPr>
        <w:t>疫情防控应急指挥部</w:t>
      </w:r>
      <w:r>
        <w:rPr>
          <w:rFonts w:hint="eastAsia" w:ascii="仿宋" w:hAnsi="仿宋" w:cs="仿宋"/>
          <w:szCs w:val="28"/>
          <w:lang w:eastAsia="zh-CN"/>
        </w:rPr>
        <w:t>，</w:t>
      </w:r>
      <w:r>
        <w:rPr>
          <w:rFonts w:ascii="仿宋" w:hAnsi="仿宋" w:eastAsia="仿宋" w:cs="仿宋"/>
          <w:spacing w:val="-5"/>
          <w:sz w:val="28"/>
          <w:szCs w:val="28"/>
        </w:rPr>
        <w:t>由</w:t>
      </w:r>
      <w:r>
        <w:rPr>
          <w:rFonts w:hint="eastAsia" w:ascii="仿宋" w:hAnsi="仿宋" w:cs="仿宋"/>
          <w:spacing w:val="-5"/>
          <w:sz w:val="28"/>
          <w:szCs w:val="28"/>
          <w:lang w:eastAsia="zh-CN"/>
        </w:rPr>
        <w:t>县</w:t>
      </w:r>
      <w:r>
        <w:rPr>
          <w:rFonts w:ascii="仿宋" w:hAnsi="仿宋" w:eastAsia="仿宋" w:cs="仿宋"/>
          <w:spacing w:val="-5"/>
          <w:sz w:val="28"/>
          <w:szCs w:val="28"/>
        </w:rPr>
        <w:t>委、</w:t>
      </w:r>
      <w:r>
        <w:rPr>
          <w:rFonts w:hint="eastAsia" w:ascii="仿宋" w:hAnsi="仿宋" w:cs="仿宋"/>
          <w:spacing w:val="-5"/>
          <w:sz w:val="28"/>
          <w:szCs w:val="28"/>
          <w:lang w:eastAsia="zh-CN"/>
        </w:rPr>
        <w:t>县</w:t>
      </w:r>
      <w:r>
        <w:rPr>
          <w:rFonts w:ascii="仿宋" w:hAnsi="仿宋" w:eastAsia="仿宋" w:cs="仿宋"/>
          <w:spacing w:val="-5"/>
          <w:sz w:val="28"/>
          <w:szCs w:val="28"/>
        </w:rPr>
        <w:t>政府</w:t>
      </w:r>
      <w:r>
        <w:rPr>
          <w:rFonts w:hint="eastAsia" w:ascii="仿宋" w:hAnsi="仿宋" w:eastAsia="仿宋" w:cs="仿宋"/>
          <w:spacing w:val="-5"/>
          <w:sz w:val="28"/>
          <w:szCs w:val="28"/>
        </w:rPr>
        <w:t>主要领导任总指挥长，各分管领导按分工落实领导责任，对疫情进行联防 联控，并进一步明确了各部门职责。同时，为应对疫情防控工作，</w:t>
      </w:r>
      <w:r>
        <w:rPr>
          <w:rFonts w:hint="eastAsia" w:ascii="仿宋" w:hAnsi="仿宋" w:cs="仿宋"/>
          <w:spacing w:val="-5"/>
          <w:sz w:val="28"/>
          <w:szCs w:val="28"/>
          <w:lang w:eastAsia="zh-CN"/>
        </w:rPr>
        <w:t>平陆县</w:t>
      </w:r>
      <w:r>
        <w:rPr>
          <w:rFonts w:hint="eastAsia" w:ascii="仿宋" w:hAnsi="仿宋" w:eastAsia="仿宋" w:cs="仿宋"/>
          <w:spacing w:val="-5"/>
          <w:sz w:val="28"/>
          <w:szCs w:val="28"/>
        </w:rPr>
        <w:t>财政局根据《财政部国家卫生健康委关于新型冠状病毒感染肺炎疫情防控有关经费保障政策的通知》紧急下达、拨付对疫 情防控工作的资金支持，切实保障医疗物资、生活物资到位，舆情引导工作到位，机构运转到位，领导组、指挥部等机构高效、有序、有力运转。</w:t>
      </w:r>
    </w:p>
    <w:p>
      <w:pPr>
        <w:spacing w:line="360" w:lineRule="auto"/>
        <w:ind w:firstLine="560"/>
        <w:rPr>
          <w:rFonts w:hint="eastAsia" w:ascii="仿宋" w:hAnsi="仿宋" w:eastAsia="仿宋" w:cs="仿宋"/>
          <w:szCs w:val="28"/>
          <w:lang w:val="en-US" w:eastAsia="zh-CN"/>
        </w:rPr>
      </w:pPr>
      <w:r>
        <w:rPr>
          <w:rFonts w:hint="eastAsia" w:ascii="仿宋" w:hAnsi="仿宋" w:eastAsia="仿宋" w:cs="仿宋"/>
          <w:spacing w:val="-5"/>
          <w:sz w:val="28"/>
          <w:szCs w:val="28"/>
        </w:rPr>
        <w:t>为坚决打赢疫情防控阻击战，</w:t>
      </w:r>
      <w:r>
        <w:rPr>
          <w:rFonts w:hint="eastAsia" w:ascii="仿宋" w:hAnsi="仿宋" w:cs="仿宋"/>
          <w:spacing w:val="-5"/>
          <w:sz w:val="28"/>
          <w:szCs w:val="28"/>
          <w:lang w:val="en-US" w:eastAsia="zh-CN"/>
        </w:rPr>
        <w:t>2022年</w:t>
      </w:r>
      <w:r>
        <w:rPr>
          <w:rFonts w:hint="eastAsia" w:ascii="仿宋" w:hAnsi="仿宋" w:cs="仿宋"/>
          <w:spacing w:val="-5"/>
          <w:sz w:val="28"/>
          <w:szCs w:val="28"/>
          <w:lang w:eastAsia="zh-CN"/>
        </w:rPr>
        <w:t>平陆县</w:t>
      </w:r>
      <w:r>
        <w:rPr>
          <w:rFonts w:hint="eastAsia" w:ascii="仿宋" w:hAnsi="仿宋" w:eastAsia="仿宋" w:cs="仿宋"/>
          <w:spacing w:val="-5"/>
          <w:sz w:val="28"/>
          <w:szCs w:val="28"/>
        </w:rPr>
        <w:t>财政局向</w:t>
      </w:r>
      <w:r>
        <w:rPr>
          <w:rFonts w:hint="eastAsia" w:ascii="仿宋" w:hAnsi="仿宋" w:cs="仿宋"/>
          <w:spacing w:val="-5"/>
          <w:sz w:val="28"/>
          <w:szCs w:val="28"/>
          <w:lang w:eastAsia="zh-CN"/>
        </w:rPr>
        <w:t>平陆县卫生健康和体育局</w:t>
      </w:r>
      <w:r>
        <w:rPr>
          <w:rFonts w:hint="eastAsia" w:ascii="仿宋" w:hAnsi="仿宋" w:eastAsia="仿宋" w:cs="仿宋"/>
          <w:spacing w:val="-5"/>
          <w:sz w:val="28"/>
          <w:szCs w:val="28"/>
        </w:rPr>
        <w:t>拨付防疫工作经费28,410,091.16 元。</w:t>
      </w:r>
      <w:r>
        <w:rPr>
          <w:rFonts w:hint="eastAsia" w:ascii="仿宋" w:hAnsi="仿宋" w:cs="仿宋"/>
          <w:spacing w:val="-5"/>
          <w:sz w:val="28"/>
          <w:szCs w:val="28"/>
          <w:lang w:eastAsia="zh-CN"/>
        </w:rPr>
        <w:t>平陆县卫生健康和体育局</w:t>
      </w:r>
      <w:r>
        <w:rPr>
          <w:rFonts w:hint="eastAsia" w:ascii="仿宋" w:hAnsi="仿宋" w:eastAsia="仿宋" w:cs="仿宋"/>
          <w:spacing w:val="-5"/>
          <w:sz w:val="28"/>
          <w:szCs w:val="28"/>
        </w:rPr>
        <w:t>将专项资金下拨到各预算单位，通过采购防疫物资、进行防疫宣传等工作，有效抗击疫情， 阻断疫情传播，保障人民生命安全。截止 202</w:t>
      </w:r>
      <w:r>
        <w:rPr>
          <w:rFonts w:hint="eastAsia" w:ascii="仿宋" w:hAnsi="仿宋" w:cs="仿宋"/>
          <w:spacing w:val="-5"/>
          <w:sz w:val="28"/>
          <w:szCs w:val="28"/>
          <w:lang w:val="en-US" w:eastAsia="zh-CN"/>
        </w:rPr>
        <w:t>2</w:t>
      </w:r>
      <w:r>
        <w:rPr>
          <w:rFonts w:hint="eastAsia" w:ascii="仿宋" w:hAnsi="仿宋" w:eastAsia="仿宋" w:cs="仿宋"/>
          <w:spacing w:val="-5"/>
          <w:sz w:val="28"/>
          <w:szCs w:val="28"/>
        </w:rPr>
        <w:t xml:space="preserve"> 年12月3</w:t>
      </w:r>
      <w:r>
        <w:rPr>
          <w:rFonts w:hint="eastAsia" w:ascii="仿宋" w:hAnsi="仿宋" w:cs="仿宋"/>
          <w:spacing w:val="-5"/>
          <w:sz w:val="28"/>
          <w:szCs w:val="28"/>
          <w:lang w:val="en-US" w:eastAsia="zh-CN"/>
        </w:rPr>
        <w:t>1</w:t>
      </w:r>
      <w:r>
        <w:rPr>
          <w:rFonts w:hint="eastAsia" w:ascii="仿宋" w:hAnsi="仿宋" w:eastAsia="仿宋" w:cs="仿宋"/>
          <w:spacing w:val="-5"/>
          <w:sz w:val="28"/>
          <w:szCs w:val="28"/>
        </w:rPr>
        <w:t>日，共到位28,410,091.16 元</w:t>
      </w:r>
      <w:r>
        <w:rPr>
          <w:rFonts w:hint="eastAsia" w:ascii="仿宋" w:hAnsi="仿宋" w:cs="仿宋"/>
          <w:spacing w:val="-5"/>
          <w:sz w:val="28"/>
          <w:szCs w:val="28"/>
          <w:lang w:eastAsia="zh-CN"/>
        </w:rPr>
        <w:t>，</w:t>
      </w:r>
      <w:r>
        <w:rPr>
          <w:rFonts w:hint="eastAsia" w:ascii="仿宋" w:hAnsi="仿宋" w:eastAsia="仿宋" w:cs="仿宋"/>
          <w:spacing w:val="-5"/>
          <w:sz w:val="28"/>
          <w:szCs w:val="28"/>
        </w:rPr>
        <w:t>使用疫情防控经费26,884,563.16 元 ，结余1,525,528.00 元。</w:t>
      </w:r>
    </w:p>
    <w:p>
      <w:pPr>
        <w:spacing w:line="600" w:lineRule="exact"/>
        <w:ind w:firstLine="280" w:firstLineChars="100"/>
        <w:rPr>
          <w:rFonts w:ascii="方正仿宋_GB2312" w:hAnsi="方正仿宋_GB2312" w:eastAsia="方正仿宋_GB2312" w:cs="方正仿宋_GB2312"/>
          <w:b/>
          <w:color w:val="000000"/>
          <w:szCs w:val="28"/>
          <w:highlight w:val="none"/>
        </w:rPr>
      </w:pPr>
      <w:r>
        <w:rPr>
          <w:rFonts w:hint="eastAsia" w:ascii="方正仿宋_GB2312" w:hAnsi="方正仿宋_GB2312" w:eastAsia="方正仿宋_GB2312" w:cs="方正仿宋_GB2312"/>
          <w:bCs/>
          <w:color w:val="000000"/>
          <w:szCs w:val="28"/>
          <w:highlight w:val="none"/>
        </w:rPr>
        <w:t>二、</w:t>
      </w:r>
      <w:r>
        <w:rPr>
          <w:rFonts w:hint="eastAsia" w:ascii="方正仿宋_GB2312" w:hAnsi="方正仿宋_GB2312" w:eastAsia="方正仿宋_GB2312" w:cs="方正仿宋_GB2312"/>
          <w:b/>
          <w:color w:val="000000"/>
          <w:szCs w:val="28"/>
          <w:highlight w:val="none"/>
        </w:rPr>
        <w:t>评价结论</w:t>
      </w:r>
    </w:p>
    <w:p>
      <w:pPr>
        <w:spacing w:line="600" w:lineRule="exact"/>
        <w:ind w:firstLine="560"/>
        <w:rPr>
          <w:rFonts w:ascii="仿宋" w:hAnsi="仿宋" w:cs="仿宋"/>
          <w:szCs w:val="28"/>
          <w:highlight w:val="none"/>
        </w:rPr>
      </w:pPr>
      <w:r>
        <w:rPr>
          <w:rFonts w:hint="eastAsia" w:ascii="仿宋" w:hAnsi="仿宋" w:cs="仿宋"/>
          <w:szCs w:val="28"/>
          <w:highlight w:val="none"/>
        </w:rPr>
        <w:t>经评价，</w:t>
      </w:r>
      <w:r>
        <w:rPr>
          <w:rFonts w:hint="eastAsia" w:ascii="仿宋" w:hAnsi="仿宋" w:cs="仿宋"/>
          <w:szCs w:val="28"/>
          <w:highlight w:val="none"/>
          <w:lang w:eastAsia="zh-CN"/>
        </w:rPr>
        <w:t>平陆县2022年疫情防控项目资金</w:t>
      </w:r>
      <w:r>
        <w:rPr>
          <w:rFonts w:hint="eastAsia" w:ascii="仿宋" w:hAnsi="仿宋" w:cs="仿宋"/>
          <w:szCs w:val="28"/>
          <w:highlight w:val="none"/>
        </w:rPr>
        <w:t>绩效评价项目综合评价得分</w:t>
      </w:r>
      <w:r>
        <w:rPr>
          <w:rFonts w:hint="eastAsia" w:ascii="仿宋" w:hAnsi="仿宋" w:cs="仿宋"/>
          <w:szCs w:val="28"/>
          <w:highlight w:val="none"/>
          <w:lang w:val="en-US" w:eastAsia="zh-CN"/>
        </w:rPr>
        <w:t>90</w:t>
      </w:r>
      <w:r>
        <w:rPr>
          <w:rFonts w:hint="eastAsia" w:ascii="仿宋" w:hAnsi="仿宋" w:cs="仿宋"/>
          <w:szCs w:val="28"/>
          <w:highlight w:val="none"/>
          <w:lang w:eastAsia="zh-CN"/>
        </w:rPr>
        <w:t>分</w:t>
      </w:r>
      <w:r>
        <w:rPr>
          <w:rFonts w:hint="eastAsia" w:ascii="仿宋" w:hAnsi="仿宋" w:cs="仿宋"/>
          <w:szCs w:val="28"/>
          <w:highlight w:val="none"/>
        </w:rPr>
        <w:t>，绩效评价等级为“</w:t>
      </w:r>
      <w:r>
        <w:rPr>
          <w:rFonts w:hint="eastAsia" w:ascii="仿宋" w:hAnsi="仿宋" w:cs="仿宋"/>
          <w:szCs w:val="28"/>
          <w:highlight w:val="none"/>
          <w:lang w:eastAsia="zh-CN"/>
        </w:rPr>
        <w:t>优</w:t>
      </w:r>
      <w:r>
        <w:rPr>
          <w:rFonts w:hint="eastAsia" w:ascii="仿宋" w:hAnsi="仿宋" w:cs="仿宋"/>
          <w:szCs w:val="28"/>
          <w:highlight w:val="none"/>
        </w:rPr>
        <w:t>”。各项指标得分情况如下表：</w:t>
      </w:r>
    </w:p>
    <w:tbl>
      <w:tblPr>
        <w:tblStyle w:val="17"/>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2274"/>
        <w:gridCol w:w="2275"/>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blHeader/>
        </w:trPr>
        <w:tc>
          <w:tcPr>
            <w:tcW w:w="2274" w:type="dxa"/>
            <w:vAlign w:val="top"/>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rPr>
              <w:t>一级指标</w:t>
            </w:r>
          </w:p>
        </w:tc>
        <w:tc>
          <w:tcPr>
            <w:tcW w:w="2274" w:type="dxa"/>
            <w:vAlign w:val="top"/>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rPr>
              <w:t>分值</w:t>
            </w:r>
          </w:p>
        </w:tc>
        <w:tc>
          <w:tcPr>
            <w:tcW w:w="2275" w:type="dxa"/>
            <w:vAlign w:val="top"/>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rPr>
              <w:t>得分</w:t>
            </w:r>
          </w:p>
        </w:tc>
        <w:tc>
          <w:tcPr>
            <w:tcW w:w="2275" w:type="dxa"/>
            <w:vAlign w:val="top"/>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74" w:type="dxa"/>
          </w:tcPr>
          <w:p>
            <w:pPr>
              <w:spacing w:line="600" w:lineRule="exact"/>
              <w:ind w:firstLine="0" w:firstLineChars="0"/>
              <w:jc w:val="center"/>
              <w:rPr>
                <w:rFonts w:hint="eastAsia" w:ascii="仿宋" w:hAnsi="仿宋" w:eastAsia="仿宋" w:cs="仿宋"/>
                <w:szCs w:val="28"/>
                <w:highlight w:val="none"/>
                <w:lang w:eastAsia="zh-CN"/>
              </w:rPr>
            </w:pPr>
            <w:r>
              <w:rPr>
                <w:rFonts w:hint="eastAsia" w:ascii="仿宋" w:hAnsi="仿宋" w:cs="仿宋"/>
                <w:szCs w:val="28"/>
                <w:highlight w:val="none"/>
                <w:lang w:val="en-US" w:eastAsia="zh-CN"/>
              </w:rPr>
              <w:t>投入</w:t>
            </w:r>
          </w:p>
        </w:tc>
        <w:tc>
          <w:tcPr>
            <w:tcW w:w="2274" w:type="dxa"/>
          </w:tcPr>
          <w:p>
            <w:pPr>
              <w:spacing w:line="600" w:lineRule="exact"/>
              <w:ind w:firstLine="0" w:firstLineChars="0"/>
              <w:jc w:val="center"/>
              <w:rPr>
                <w:rFonts w:hint="default" w:ascii="仿宋" w:hAnsi="仿宋" w:eastAsia="仿宋" w:cs="仿宋"/>
                <w:szCs w:val="28"/>
                <w:highlight w:val="none"/>
                <w:lang w:val="en-US" w:eastAsia="zh-CN"/>
              </w:rPr>
            </w:pPr>
            <w:r>
              <w:rPr>
                <w:rFonts w:hint="eastAsia" w:ascii="仿宋" w:hAnsi="仿宋" w:cs="仿宋"/>
                <w:szCs w:val="28"/>
                <w:highlight w:val="none"/>
                <w:lang w:val="en-US" w:eastAsia="zh-CN"/>
              </w:rPr>
              <w:t>15</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11</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74" w:type="dxa"/>
          </w:tcPr>
          <w:p>
            <w:pPr>
              <w:spacing w:line="600" w:lineRule="exact"/>
              <w:ind w:firstLine="0" w:firstLineChars="0"/>
              <w:jc w:val="center"/>
              <w:rPr>
                <w:rFonts w:hint="eastAsia" w:ascii="仿宋" w:hAnsi="仿宋" w:eastAsia="仿宋" w:cs="仿宋"/>
                <w:szCs w:val="28"/>
                <w:highlight w:val="none"/>
                <w:lang w:eastAsia="zh-CN"/>
              </w:rPr>
            </w:pPr>
            <w:r>
              <w:rPr>
                <w:rFonts w:hint="eastAsia" w:ascii="仿宋" w:hAnsi="仿宋" w:cs="仿宋"/>
                <w:szCs w:val="28"/>
                <w:highlight w:val="none"/>
                <w:lang w:val="en-US" w:eastAsia="zh-CN"/>
              </w:rPr>
              <w:t>过程</w:t>
            </w:r>
          </w:p>
        </w:tc>
        <w:tc>
          <w:tcPr>
            <w:tcW w:w="2274" w:type="dxa"/>
          </w:tcPr>
          <w:p>
            <w:pPr>
              <w:spacing w:line="600" w:lineRule="exact"/>
              <w:ind w:firstLine="0" w:firstLineChars="0"/>
              <w:jc w:val="center"/>
              <w:rPr>
                <w:rFonts w:hint="default" w:ascii="仿宋" w:hAnsi="仿宋" w:eastAsia="仿宋" w:cs="仿宋"/>
                <w:szCs w:val="28"/>
                <w:highlight w:val="none"/>
                <w:lang w:val="en-US" w:eastAsia="zh-CN"/>
              </w:rPr>
            </w:pPr>
            <w:r>
              <w:rPr>
                <w:rFonts w:hint="eastAsia" w:ascii="仿宋" w:hAnsi="仿宋" w:cs="仿宋"/>
                <w:szCs w:val="28"/>
                <w:highlight w:val="none"/>
                <w:lang w:val="en-US" w:eastAsia="zh-CN"/>
              </w:rPr>
              <w:t>20</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16</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74" w:type="dxa"/>
          </w:tcPr>
          <w:p>
            <w:pPr>
              <w:spacing w:line="600" w:lineRule="exact"/>
              <w:ind w:firstLine="0" w:firstLineChars="0"/>
              <w:jc w:val="center"/>
              <w:rPr>
                <w:rFonts w:hint="eastAsia" w:ascii="仿宋" w:hAnsi="仿宋" w:eastAsia="仿宋" w:cs="仿宋"/>
                <w:szCs w:val="28"/>
                <w:highlight w:val="none"/>
                <w:lang w:eastAsia="zh-CN"/>
              </w:rPr>
            </w:pPr>
            <w:r>
              <w:rPr>
                <w:rFonts w:hint="eastAsia" w:ascii="仿宋" w:hAnsi="仿宋" w:cs="仿宋"/>
                <w:szCs w:val="28"/>
                <w:highlight w:val="none"/>
                <w:lang w:val="en-US" w:eastAsia="zh-CN"/>
              </w:rPr>
              <w:t>产出</w:t>
            </w:r>
          </w:p>
        </w:tc>
        <w:tc>
          <w:tcPr>
            <w:tcW w:w="2274" w:type="dxa"/>
          </w:tcPr>
          <w:p>
            <w:pPr>
              <w:spacing w:line="600" w:lineRule="exact"/>
              <w:ind w:firstLine="0" w:firstLineChars="0"/>
              <w:jc w:val="center"/>
              <w:rPr>
                <w:rFonts w:hint="default" w:ascii="仿宋" w:hAnsi="仿宋" w:eastAsia="仿宋" w:cs="仿宋"/>
                <w:szCs w:val="28"/>
                <w:highlight w:val="none"/>
                <w:lang w:val="en-US" w:eastAsia="zh-CN"/>
              </w:rPr>
            </w:pPr>
            <w:r>
              <w:rPr>
                <w:rFonts w:hint="eastAsia" w:ascii="仿宋" w:hAnsi="仿宋" w:cs="仿宋"/>
                <w:szCs w:val="28"/>
                <w:highlight w:val="none"/>
                <w:lang w:val="en-US" w:eastAsia="zh-CN"/>
              </w:rPr>
              <w:t>30</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30</w:t>
            </w:r>
          </w:p>
        </w:tc>
        <w:tc>
          <w:tcPr>
            <w:tcW w:w="2275" w:type="dxa"/>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74" w:type="dxa"/>
          </w:tcPr>
          <w:p>
            <w:pPr>
              <w:spacing w:line="600" w:lineRule="exact"/>
              <w:ind w:firstLine="0" w:firstLineChars="0"/>
              <w:jc w:val="center"/>
              <w:rPr>
                <w:rFonts w:hint="eastAsia" w:ascii="仿宋" w:hAnsi="仿宋" w:eastAsia="仿宋" w:cs="仿宋"/>
                <w:szCs w:val="28"/>
                <w:highlight w:val="none"/>
                <w:lang w:eastAsia="zh-CN"/>
              </w:rPr>
            </w:pPr>
            <w:r>
              <w:rPr>
                <w:rFonts w:hint="eastAsia" w:ascii="仿宋" w:hAnsi="仿宋" w:cs="仿宋"/>
                <w:szCs w:val="28"/>
                <w:highlight w:val="none"/>
                <w:lang w:val="en-US" w:eastAsia="zh-CN"/>
              </w:rPr>
              <w:t>效益</w:t>
            </w:r>
          </w:p>
        </w:tc>
        <w:tc>
          <w:tcPr>
            <w:tcW w:w="2274" w:type="dxa"/>
          </w:tcPr>
          <w:p>
            <w:pPr>
              <w:spacing w:line="600" w:lineRule="exact"/>
              <w:ind w:firstLine="0" w:firstLineChars="0"/>
              <w:jc w:val="center"/>
              <w:rPr>
                <w:rFonts w:hint="default" w:ascii="仿宋" w:hAnsi="仿宋" w:eastAsia="仿宋" w:cs="仿宋"/>
                <w:szCs w:val="28"/>
                <w:highlight w:val="none"/>
                <w:lang w:val="en-US" w:eastAsia="zh-CN"/>
              </w:rPr>
            </w:pPr>
            <w:r>
              <w:rPr>
                <w:rFonts w:hint="eastAsia" w:ascii="仿宋" w:hAnsi="仿宋" w:cs="仿宋"/>
                <w:szCs w:val="28"/>
                <w:highlight w:val="none"/>
                <w:lang w:val="en-US" w:eastAsia="zh-CN"/>
              </w:rPr>
              <w:t>30</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28</w:t>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74" w:type="dxa"/>
          </w:tcPr>
          <w:p>
            <w:pPr>
              <w:spacing w:line="600" w:lineRule="exact"/>
              <w:ind w:firstLine="0" w:firstLineChars="0"/>
              <w:jc w:val="center"/>
              <w:rPr>
                <w:rFonts w:hint="eastAsia" w:ascii="仿宋" w:hAnsi="仿宋" w:cs="仿宋"/>
                <w:szCs w:val="28"/>
                <w:highlight w:val="none"/>
              </w:rPr>
            </w:pPr>
            <w:r>
              <w:rPr>
                <w:rFonts w:hint="eastAsia" w:ascii="仿宋" w:hAnsi="仿宋" w:cs="仿宋"/>
                <w:szCs w:val="28"/>
                <w:highlight w:val="none"/>
              </w:rPr>
              <w:t>社会公众或服务对象满意度</w:t>
            </w:r>
          </w:p>
        </w:tc>
        <w:tc>
          <w:tcPr>
            <w:tcW w:w="2274" w:type="dxa"/>
            <w:vAlign w:val="center"/>
          </w:tcPr>
          <w:p>
            <w:pPr>
              <w:spacing w:line="600" w:lineRule="exact"/>
              <w:ind w:firstLine="0" w:firstLineChars="0"/>
              <w:jc w:val="center"/>
              <w:rPr>
                <w:rFonts w:hint="eastAsia" w:ascii="仿宋" w:hAnsi="仿宋" w:eastAsia="仿宋" w:cs="仿宋"/>
                <w:szCs w:val="28"/>
                <w:highlight w:val="none"/>
                <w:lang w:val="en-US" w:eastAsia="zh-CN"/>
              </w:rPr>
            </w:pPr>
            <w:r>
              <w:rPr>
                <w:rFonts w:hint="eastAsia" w:ascii="仿宋" w:hAnsi="仿宋" w:cs="仿宋"/>
                <w:szCs w:val="28"/>
                <w:highlight w:val="none"/>
                <w:lang w:val="en-US" w:eastAsia="zh-CN"/>
              </w:rPr>
              <w:t>5</w:t>
            </w:r>
          </w:p>
        </w:tc>
        <w:tc>
          <w:tcPr>
            <w:tcW w:w="2275" w:type="dxa"/>
            <w:vAlign w:val="center"/>
          </w:tcPr>
          <w:p>
            <w:pPr>
              <w:spacing w:line="600" w:lineRule="exact"/>
              <w:ind w:firstLine="0" w:firstLineChars="0"/>
              <w:jc w:val="center"/>
              <w:rPr>
                <w:rFonts w:hint="eastAsia" w:ascii="仿宋" w:hAnsi="仿宋" w:eastAsia="仿宋" w:cs="仿宋"/>
                <w:szCs w:val="28"/>
                <w:highlight w:val="none"/>
                <w:lang w:val="en-US" w:eastAsia="zh-CN"/>
              </w:rPr>
            </w:pPr>
            <w:r>
              <w:rPr>
                <w:rFonts w:hint="eastAsia" w:ascii="仿宋" w:hAnsi="仿宋" w:cs="仿宋"/>
                <w:szCs w:val="28"/>
                <w:highlight w:val="none"/>
                <w:lang w:val="en-US" w:eastAsia="zh-CN"/>
              </w:rPr>
              <w:t>5</w:t>
            </w:r>
          </w:p>
        </w:tc>
        <w:tc>
          <w:tcPr>
            <w:tcW w:w="2275" w:type="dxa"/>
            <w:vAlign w:val="center"/>
          </w:tcPr>
          <w:p>
            <w:pPr>
              <w:spacing w:line="600" w:lineRule="exact"/>
              <w:ind w:firstLine="0" w:firstLineChars="0"/>
              <w:jc w:val="center"/>
              <w:rPr>
                <w:rFonts w:hint="eastAsia" w:ascii="仿宋" w:hAnsi="仿宋" w:eastAsia="仿宋" w:cs="仿宋"/>
                <w:szCs w:val="28"/>
                <w:highlight w:val="none"/>
                <w:lang w:val="en-US" w:eastAsia="zh-CN"/>
              </w:rPr>
            </w:pPr>
            <w:r>
              <w:rPr>
                <w:rFonts w:hint="eastAsia" w:ascii="仿宋" w:hAnsi="仿宋" w:cs="仿宋"/>
                <w:szCs w:val="28"/>
                <w:highlight w:val="none"/>
                <w:lang w:val="en-US" w:eastAsia="zh-CN"/>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74" w:type="dxa"/>
          </w:tcPr>
          <w:p>
            <w:pPr>
              <w:spacing w:line="600" w:lineRule="exact"/>
              <w:ind w:firstLine="0" w:firstLineChars="0"/>
              <w:jc w:val="center"/>
              <w:rPr>
                <w:rFonts w:ascii="仿宋" w:hAnsi="仿宋" w:cs="仿宋"/>
                <w:szCs w:val="28"/>
                <w:highlight w:val="none"/>
              </w:rPr>
            </w:pPr>
            <w:r>
              <w:rPr>
                <w:rFonts w:hint="eastAsia" w:ascii="仿宋" w:hAnsi="仿宋" w:cs="仿宋"/>
                <w:szCs w:val="28"/>
                <w:highlight w:val="none"/>
              </w:rPr>
              <w:t>合计</w:t>
            </w:r>
          </w:p>
        </w:tc>
        <w:tc>
          <w:tcPr>
            <w:tcW w:w="2274" w:type="dxa"/>
          </w:tcPr>
          <w:p>
            <w:pPr>
              <w:spacing w:line="600" w:lineRule="exact"/>
              <w:ind w:firstLine="0" w:firstLineChars="0"/>
              <w:jc w:val="center"/>
              <w:rPr>
                <w:rFonts w:ascii="仿宋" w:hAnsi="仿宋" w:cs="仿宋"/>
                <w:szCs w:val="28"/>
                <w:highlight w:val="none"/>
              </w:rPr>
            </w:pPr>
            <w:r>
              <w:rPr>
                <w:rFonts w:ascii="仿宋" w:hAnsi="仿宋" w:cs="仿宋"/>
                <w:szCs w:val="28"/>
                <w:highlight w:val="none"/>
              </w:rPr>
              <w:fldChar w:fldCharType="begin"/>
            </w:r>
            <w:r>
              <w:rPr>
                <w:rFonts w:ascii="仿宋" w:hAnsi="仿宋" w:cs="仿宋"/>
                <w:szCs w:val="28"/>
                <w:highlight w:val="none"/>
              </w:rPr>
              <w:instrText xml:space="preserve"> = sum(B2:B5) \* MERGEFORMAT </w:instrText>
            </w:r>
            <w:r>
              <w:rPr>
                <w:rFonts w:ascii="仿宋" w:hAnsi="仿宋" w:cs="仿宋"/>
                <w:szCs w:val="28"/>
                <w:highlight w:val="none"/>
              </w:rPr>
              <w:fldChar w:fldCharType="separate"/>
            </w:r>
            <w:r>
              <w:rPr>
                <w:rFonts w:ascii="仿宋" w:hAnsi="仿宋" w:cs="仿宋"/>
                <w:szCs w:val="28"/>
                <w:highlight w:val="none"/>
              </w:rPr>
              <w:t>100</w:t>
            </w:r>
            <w:r>
              <w:rPr>
                <w:rFonts w:ascii="仿宋" w:hAnsi="仿宋" w:cs="仿宋"/>
                <w:szCs w:val="28"/>
                <w:highlight w:val="none"/>
              </w:rPr>
              <w:fldChar w:fldCharType="end"/>
            </w:r>
          </w:p>
        </w:tc>
        <w:tc>
          <w:tcPr>
            <w:tcW w:w="2275" w:type="dxa"/>
          </w:tcPr>
          <w:p>
            <w:pPr>
              <w:spacing w:line="600" w:lineRule="exact"/>
              <w:ind w:firstLine="0" w:firstLineChars="0"/>
              <w:jc w:val="center"/>
              <w:rPr>
                <w:rFonts w:hint="default" w:ascii="仿宋" w:hAnsi="仿宋" w:cs="仿宋"/>
                <w:szCs w:val="28"/>
                <w:highlight w:val="none"/>
                <w:lang w:val="en-US"/>
              </w:rPr>
            </w:pPr>
            <w:r>
              <w:rPr>
                <w:rFonts w:hint="eastAsia" w:ascii="仿宋" w:hAnsi="仿宋" w:cs="仿宋"/>
                <w:szCs w:val="28"/>
                <w:highlight w:val="none"/>
                <w:lang w:val="en-US" w:eastAsia="zh-CN"/>
              </w:rPr>
              <w:t>90</w:t>
            </w:r>
          </w:p>
        </w:tc>
        <w:tc>
          <w:tcPr>
            <w:tcW w:w="2275" w:type="dxa"/>
          </w:tcPr>
          <w:p>
            <w:pPr>
              <w:spacing w:line="600" w:lineRule="exact"/>
              <w:ind w:firstLine="0" w:firstLineChars="0"/>
              <w:jc w:val="center"/>
              <w:rPr>
                <w:rFonts w:ascii="仿宋" w:hAnsi="仿宋" w:cs="仿宋"/>
                <w:szCs w:val="28"/>
                <w:highlight w:val="none"/>
              </w:rPr>
            </w:pPr>
          </w:p>
        </w:tc>
      </w:tr>
    </w:tbl>
    <w:p>
      <w:pPr>
        <w:spacing w:line="600" w:lineRule="exact"/>
        <w:ind w:firstLine="562"/>
        <w:rPr>
          <w:rFonts w:ascii="方正仿宋_GB2312" w:hAnsi="方正仿宋_GB2312" w:eastAsia="方正仿宋_GB2312" w:cs="方正仿宋_GB2312"/>
          <w:b/>
          <w:szCs w:val="28"/>
        </w:rPr>
      </w:pPr>
      <w:r>
        <w:rPr>
          <w:rFonts w:hint="eastAsia" w:ascii="方正仿宋_GB2312" w:hAnsi="方正仿宋_GB2312" w:eastAsia="方正仿宋_GB2312" w:cs="方正仿宋_GB2312"/>
          <w:b/>
          <w:szCs w:val="28"/>
        </w:rPr>
        <w:t>三、主要经验与做法</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1、</w:t>
      </w:r>
      <w:r>
        <w:rPr>
          <w:rFonts w:hint="eastAsia" w:ascii="仿宋" w:hAnsi="仿宋" w:cs="仿宋"/>
          <w:szCs w:val="28"/>
        </w:rPr>
        <w:t>全面落实疫情防控各项措施，紧盯重点环节、重点场所，毫不放松抓好疫情防控各项工作完善外防输入政策措施，坚持“人物同防 ”。强调加强重点时段、重点地区、重点人群疫情防控，有效防范境内疫情反弹</w:t>
      </w:r>
      <w:r>
        <w:rPr>
          <w:rFonts w:hint="eastAsia" w:ascii="仿宋" w:hAnsi="仿宋" w:cs="仿宋"/>
          <w:szCs w:val="28"/>
          <w:lang w:eastAsia="zh-CN"/>
        </w:rPr>
        <w:t>。</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2、</w:t>
      </w:r>
      <w:r>
        <w:rPr>
          <w:rFonts w:hint="eastAsia" w:ascii="仿宋" w:hAnsi="仿宋" w:cs="仿宋"/>
          <w:szCs w:val="28"/>
          <w:lang w:eastAsia="zh-CN"/>
        </w:rPr>
        <w:t>平陆县</w:t>
      </w:r>
      <w:r>
        <w:rPr>
          <w:rFonts w:hint="eastAsia" w:ascii="仿宋" w:hAnsi="仿宋" w:cs="仿宋"/>
          <w:szCs w:val="28"/>
        </w:rPr>
        <w:t>各级人民政府、财政部门和卫生健康部门坚决贯彻党中央、国务院的决策部署，始终围绕“打赢疫情防控阻击战 ”这一疫情防控中心任务，充分用好财政资金，进一步优化财政支出结构，大力盘活财政存量资金，确保疫情防控资金需要。同时，按照“急事急办、特事特办 ”的原则，有序规范组织资金调度，优先保障疫情防控资金拨付。</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3、</w:t>
      </w:r>
      <w:r>
        <w:rPr>
          <w:rFonts w:hint="eastAsia" w:ascii="仿宋" w:hAnsi="仿宋" w:cs="仿宋"/>
          <w:szCs w:val="28"/>
          <w:lang w:eastAsia="zh-CN"/>
        </w:rPr>
        <w:t>平陆县</w:t>
      </w:r>
      <w:r>
        <w:rPr>
          <w:rFonts w:hint="eastAsia" w:ascii="仿宋" w:hAnsi="仿宋" w:cs="仿宋"/>
          <w:szCs w:val="28"/>
        </w:rPr>
        <w:t>人民政府和防疫指挥部的统一领导下，结合本地实际，及时出台相关保障政策，全面做好疫情经费保障工作。同时及时将资金拨付到各基层单位，各单位根据工作需求进行物资储备，做好疫情防控常态化准备，保障人民生命安全。</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4、</w:t>
      </w:r>
      <w:r>
        <w:rPr>
          <w:rFonts w:hint="eastAsia" w:ascii="仿宋" w:hAnsi="仿宋" w:cs="仿宋"/>
          <w:szCs w:val="28"/>
        </w:rPr>
        <w:t>医疗机构“应检尽检 ”，发挥诊所、医疗机构、小医院等“哨点 ” 作用。坚持人、物和环境监测，强化医疗机构就诊人员、风险职业人群、 重点人群、重点机构等疫情监测，及时发现和报告疫情。强化病原监测，动态监测病毒变异情况，了解病毒变异对病原检测和疫苗保护效果影响。</w:t>
      </w:r>
    </w:p>
    <w:p>
      <w:pPr>
        <w:numPr>
          <w:ilvl w:val="-1"/>
          <w:numId w:val="0"/>
        </w:numPr>
        <w:spacing w:line="600" w:lineRule="exact"/>
        <w:ind w:firstLine="562"/>
        <w:rPr>
          <w:rFonts w:hint="eastAsia" w:ascii="方正仿宋_GB2312" w:hAnsi="方正仿宋_GB2312" w:eastAsia="方正仿宋_GB2312" w:cs="方正仿宋_GB2312"/>
          <w:b/>
          <w:bCs w:val="0"/>
          <w:szCs w:val="28"/>
          <w:lang w:val="en-US" w:eastAsia="zh-CN"/>
        </w:rPr>
      </w:pPr>
      <w:r>
        <w:rPr>
          <w:rFonts w:hint="eastAsia" w:ascii="方正仿宋_GB2312" w:hAnsi="方正仿宋_GB2312" w:eastAsia="方正仿宋_GB2312" w:cs="方正仿宋_GB2312"/>
          <w:b/>
          <w:bCs w:val="0"/>
          <w:szCs w:val="28"/>
          <w:lang w:val="en-US" w:eastAsia="zh-CN"/>
        </w:rPr>
        <w:t>四、</w:t>
      </w:r>
      <w:r>
        <w:rPr>
          <w:rFonts w:hint="eastAsia" w:ascii="方正仿宋_GB2312" w:hAnsi="方正仿宋_GB2312" w:eastAsia="方正仿宋_GB2312" w:cs="方正仿宋_GB2312"/>
          <w:b/>
          <w:bCs w:val="0"/>
          <w:szCs w:val="28"/>
        </w:rPr>
        <w:t>存</w:t>
      </w:r>
      <w:r>
        <w:rPr>
          <w:rFonts w:hint="eastAsia" w:ascii="方正仿宋_GB2312" w:hAnsi="方正仿宋_GB2312" w:eastAsia="方正仿宋_GB2312" w:cs="方正仿宋_GB2312"/>
          <w:b/>
          <w:bCs/>
          <w:szCs w:val="28"/>
        </w:rPr>
        <w:t>在的问题</w:t>
      </w:r>
    </w:p>
    <w:p>
      <w:pPr>
        <w:pStyle w:val="4"/>
        <w:numPr>
          <w:ilvl w:val="0"/>
          <w:numId w:val="0"/>
        </w:numPr>
        <w:spacing w:line="360" w:lineRule="auto"/>
        <w:ind w:firstLine="560"/>
        <w:jc w:val="left"/>
        <w:rPr>
          <w:rFonts w:hint="eastAsia" w:ascii="仿宋" w:hAnsi="仿宋" w:cs="仿宋"/>
          <w:b/>
          <w:bCs/>
          <w:sz w:val="28"/>
          <w:szCs w:val="28"/>
          <w:lang w:val="en-US" w:eastAsia="zh-CN"/>
        </w:rPr>
      </w:pPr>
      <w:r>
        <w:rPr>
          <w:rFonts w:hint="eastAsia" w:ascii="仿宋" w:hAnsi="仿宋" w:cs="仿宋"/>
          <w:b/>
          <w:bCs/>
          <w:kern w:val="2"/>
          <w:sz w:val="28"/>
          <w:szCs w:val="28"/>
          <w:lang w:val="en-US" w:eastAsia="zh-CN" w:bidi="ar-SA"/>
        </w:rPr>
        <w:t xml:space="preserve">  </w:t>
      </w:r>
      <w:r>
        <w:rPr>
          <w:rFonts w:hint="eastAsia" w:ascii="仿宋" w:hAnsi="仿宋" w:cs="仿宋"/>
          <w:b/>
          <w:bCs/>
          <w:sz w:val="28"/>
          <w:szCs w:val="28"/>
          <w:lang w:val="en-US" w:eastAsia="zh-CN"/>
        </w:rPr>
        <w:t>原始凭证入账不及时</w:t>
      </w:r>
    </w:p>
    <w:p>
      <w:pPr>
        <w:spacing w:line="360" w:lineRule="auto"/>
        <w:rPr>
          <w:rFonts w:hint="eastAsia" w:ascii="仿宋" w:hAnsi="仿宋" w:cs="仿宋"/>
          <w:szCs w:val="28"/>
          <w:lang w:eastAsia="zh-CN"/>
        </w:rPr>
      </w:pPr>
      <w:r>
        <w:rPr>
          <w:rFonts w:hint="eastAsia" w:ascii="仿宋" w:hAnsi="仿宋" w:cs="仿宋"/>
          <w:kern w:val="2"/>
          <w:sz w:val="28"/>
          <w:szCs w:val="28"/>
          <w:lang w:val="en-US" w:eastAsia="zh-CN"/>
        </w:rPr>
        <w:t>（1）</w:t>
      </w:r>
      <w:r>
        <w:rPr>
          <w:rFonts w:hint="eastAsia" w:ascii="仿宋" w:hAnsi="仿宋" w:cs="仿宋"/>
          <w:szCs w:val="28"/>
        </w:rPr>
        <w:t>三门镇卫生院2022年6月18号凭证，支核酸采集费8,590.00元，该笔费用包括2021年1月-12月核酸采集费4,050.00元，2022年1月-2月核酸采集费4,540.00元，形成跨期列支，2021年业务挤占2022年费用。</w:t>
      </w:r>
    </w:p>
    <w:p>
      <w:pPr>
        <w:spacing w:line="360" w:lineRule="auto"/>
        <w:rPr>
          <w:rFonts w:hint="eastAsia" w:ascii="仿宋" w:hAnsi="仿宋" w:cs="仿宋"/>
          <w:szCs w:val="28"/>
          <w:lang w:eastAsia="zh-CN"/>
        </w:rPr>
      </w:pPr>
      <w:r>
        <w:rPr>
          <w:rFonts w:hint="eastAsia" w:ascii="仿宋" w:hAnsi="仿宋" w:cs="仿宋"/>
          <w:kern w:val="2"/>
          <w:sz w:val="28"/>
          <w:szCs w:val="28"/>
          <w:lang w:val="en-US" w:eastAsia="zh-CN"/>
        </w:rPr>
        <w:t>（2）</w:t>
      </w:r>
      <w:r>
        <w:rPr>
          <w:rFonts w:hint="eastAsia" w:ascii="仿宋" w:hAnsi="仿宋" w:cs="仿宋"/>
          <w:szCs w:val="28"/>
        </w:rPr>
        <w:t>三门镇坡底分院2022年5月11号凭证，支坡底分院防控物资18,970.00元，凭证后附国库集中支付凭证付款时间为2022年5月18日，发票开票时间为：2021年5月19日（7,230.00元）、2021年3月17日（11,740.00元），形成跨期列支，2021年业务挤占2022年费用。</w:t>
      </w:r>
    </w:p>
    <w:p>
      <w:pPr>
        <w:pStyle w:val="4"/>
        <w:spacing w:line="360" w:lineRule="auto"/>
        <w:ind w:left="0" w:leftChars="0" w:firstLine="0" w:firstLineChars="0"/>
        <w:rPr>
          <w:rFonts w:hint="eastAsia" w:ascii="仿宋" w:hAnsi="仿宋" w:cs="仿宋"/>
          <w:b w:val="0"/>
          <w:sz w:val="28"/>
          <w:szCs w:val="28"/>
          <w:highlight w:val="none"/>
        </w:rPr>
      </w:pPr>
    </w:p>
    <w:p>
      <w:pPr>
        <w:pStyle w:val="4"/>
        <w:spacing w:line="360" w:lineRule="auto"/>
        <w:ind w:firstLine="640"/>
        <w:rPr>
          <w:rFonts w:hint="eastAsia" w:ascii="仿宋" w:hAnsi="仿宋" w:cs="仿宋"/>
          <w:b w:val="0"/>
          <w:sz w:val="28"/>
          <w:szCs w:val="28"/>
          <w:highlight w:val="none"/>
        </w:rPr>
        <w:sectPr>
          <w:footerReference r:id="rId14"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ind w:firstLine="3614" w:firstLineChars="1000"/>
        <w:rPr>
          <w:sz w:val="36"/>
          <w:szCs w:val="36"/>
          <w:highlight w:val="none"/>
        </w:rPr>
      </w:pPr>
      <w:bookmarkStart w:id="4" w:name="_Toc8338"/>
      <w:bookmarkStart w:id="5" w:name="_Toc8499"/>
      <w:bookmarkStart w:id="6" w:name="_Toc6240"/>
      <w:bookmarkStart w:id="7" w:name="_Toc19966"/>
      <w:bookmarkStart w:id="8" w:name="_Toc1403"/>
      <w:bookmarkStart w:id="9" w:name="_Toc23148"/>
      <w:bookmarkStart w:id="10" w:name="_Toc26079"/>
      <w:bookmarkStart w:id="11" w:name="_Toc10300"/>
      <w:bookmarkStart w:id="12" w:name="_Toc30579"/>
      <w:r>
        <w:rPr>
          <w:rFonts w:hint="eastAsia"/>
          <w:sz w:val="36"/>
          <w:szCs w:val="36"/>
          <w:highlight w:val="none"/>
        </w:rPr>
        <w:t>绩效评价</w:t>
      </w:r>
      <w:bookmarkEnd w:id="4"/>
      <w:bookmarkEnd w:id="5"/>
      <w:bookmarkEnd w:id="6"/>
      <w:bookmarkEnd w:id="7"/>
      <w:bookmarkEnd w:id="8"/>
      <w:bookmarkEnd w:id="9"/>
      <w:bookmarkEnd w:id="10"/>
      <w:r>
        <w:rPr>
          <w:rFonts w:hint="eastAsia"/>
          <w:sz w:val="36"/>
          <w:szCs w:val="36"/>
          <w:highlight w:val="none"/>
        </w:rPr>
        <w:t>报告</w:t>
      </w:r>
      <w:bookmarkEnd w:id="11"/>
      <w:bookmarkEnd w:id="12"/>
    </w:p>
    <w:p>
      <w:pPr>
        <w:spacing w:line="610" w:lineRule="exact"/>
        <w:ind w:firstLine="0" w:firstLineChars="0"/>
        <w:jc w:val="left"/>
        <w:rPr>
          <w:rFonts w:ascii="仿宋" w:hAnsi="仿宋" w:cs="仿宋"/>
          <w:szCs w:val="28"/>
        </w:rPr>
      </w:pPr>
      <w:r>
        <w:rPr>
          <w:rFonts w:hint="eastAsia" w:ascii="仿宋" w:hAnsi="仿宋" w:cs="仿宋"/>
          <w:szCs w:val="28"/>
        </w:rPr>
        <w:t>平陆县财政局：</w:t>
      </w:r>
    </w:p>
    <w:p>
      <w:pPr>
        <w:spacing w:line="610" w:lineRule="exact"/>
        <w:ind w:firstLine="560"/>
        <w:jc w:val="left"/>
        <w:rPr>
          <w:rFonts w:ascii="仿宋" w:hAnsi="仿宋" w:cs="仿宋"/>
          <w:szCs w:val="28"/>
        </w:rPr>
      </w:pPr>
      <w:r>
        <w:rPr>
          <w:rFonts w:hint="eastAsia" w:ascii="仿宋" w:hAnsi="仿宋" w:cs="仿宋"/>
          <w:szCs w:val="28"/>
        </w:rPr>
        <w:t>我们接受</w:t>
      </w:r>
      <w:r>
        <w:rPr>
          <w:rFonts w:hint="eastAsia" w:ascii="仿宋" w:hAnsi="仿宋" w:eastAsia="仿宋" w:cs="仿宋"/>
          <w:szCs w:val="28"/>
        </w:rPr>
        <w:t>委托，于</w:t>
      </w:r>
      <w:r>
        <w:rPr>
          <w:rFonts w:hint="eastAsia" w:ascii="仿宋" w:hAnsi="仿宋" w:eastAsia="仿宋" w:cs="仿宋"/>
          <w:szCs w:val="28"/>
          <w:lang w:eastAsia="zh-CN"/>
        </w:rPr>
        <w:t>2023年</w:t>
      </w:r>
      <w:r>
        <w:rPr>
          <w:rFonts w:hint="eastAsia" w:ascii="仿宋" w:hAnsi="仿宋" w:eastAsia="仿宋" w:cs="仿宋"/>
          <w:szCs w:val="28"/>
          <w:lang w:val="en-US" w:eastAsia="zh-CN"/>
        </w:rPr>
        <w:t>8</w:t>
      </w:r>
      <w:r>
        <w:rPr>
          <w:rFonts w:hint="eastAsia" w:ascii="仿宋" w:hAnsi="仿宋" w:eastAsia="仿宋" w:cs="仿宋"/>
          <w:szCs w:val="28"/>
          <w:lang w:eastAsia="zh-CN"/>
        </w:rPr>
        <w:t>月</w:t>
      </w:r>
      <w:r>
        <w:rPr>
          <w:rFonts w:hint="eastAsia" w:ascii="仿宋" w:hAnsi="仿宋" w:cs="仿宋"/>
          <w:szCs w:val="28"/>
          <w:lang w:val="en-US" w:eastAsia="zh-CN"/>
        </w:rPr>
        <w:t>28</w:t>
      </w:r>
      <w:r>
        <w:rPr>
          <w:rFonts w:hint="eastAsia" w:ascii="仿宋" w:hAnsi="仿宋" w:eastAsia="仿宋" w:cs="仿宋"/>
          <w:szCs w:val="28"/>
          <w:lang w:eastAsia="zh-CN"/>
        </w:rPr>
        <w:t>日</w:t>
      </w:r>
      <w:r>
        <w:rPr>
          <w:rFonts w:hint="eastAsia" w:ascii="仿宋" w:hAnsi="仿宋" w:eastAsia="仿宋" w:cs="仿宋"/>
          <w:szCs w:val="28"/>
        </w:rPr>
        <w:t>至</w:t>
      </w:r>
      <w:r>
        <w:rPr>
          <w:rFonts w:hint="eastAsia" w:ascii="仿宋" w:hAnsi="仿宋" w:eastAsia="仿宋" w:cs="仿宋"/>
          <w:szCs w:val="28"/>
          <w:lang w:eastAsia="zh-CN"/>
        </w:rPr>
        <w:t>2023年9月</w:t>
      </w:r>
      <w:r>
        <w:rPr>
          <w:rFonts w:hint="eastAsia" w:ascii="仿宋" w:hAnsi="仿宋" w:cs="仿宋"/>
          <w:szCs w:val="28"/>
          <w:lang w:val="en-US" w:eastAsia="zh-CN"/>
        </w:rPr>
        <w:t>15</w:t>
      </w:r>
      <w:r>
        <w:rPr>
          <w:rFonts w:hint="eastAsia" w:ascii="仿宋" w:hAnsi="仿宋" w:eastAsia="仿宋" w:cs="仿宋"/>
          <w:szCs w:val="28"/>
          <w:lang w:eastAsia="zh-CN"/>
        </w:rPr>
        <w:t>日</w:t>
      </w:r>
      <w:r>
        <w:rPr>
          <w:rFonts w:hint="eastAsia" w:ascii="仿宋" w:hAnsi="仿宋" w:eastAsia="仿宋" w:cs="仿宋"/>
          <w:szCs w:val="28"/>
        </w:rPr>
        <w:t>对</w:t>
      </w:r>
      <w:r>
        <w:rPr>
          <w:rFonts w:hint="eastAsia" w:ascii="仿宋" w:hAnsi="仿宋" w:cs="仿宋"/>
          <w:szCs w:val="28"/>
          <w:lang w:eastAsia="zh-CN"/>
        </w:rPr>
        <w:t>平陆县2022年疫情防控项目资金</w:t>
      </w:r>
      <w:r>
        <w:rPr>
          <w:rFonts w:hint="eastAsia" w:ascii="仿宋" w:hAnsi="仿宋" w:cs="仿宋"/>
          <w:szCs w:val="28"/>
        </w:rPr>
        <w:t>进行绩效评价。根据财政部《关于推进预算绩效管理的指导意见</w:t>
      </w:r>
      <w:r>
        <w:rPr>
          <w:rFonts w:hint="eastAsia" w:ascii="仿宋" w:hAnsi="仿宋" w:cs="仿宋"/>
          <w:szCs w:val="28"/>
          <w:lang w:eastAsia="zh-CN"/>
        </w:rPr>
        <w:t>》《</w:t>
      </w:r>
      <w:r>
        <w:rPr>
          <w:rFonts w:hint="eastAsia" w:ascii="仿宋" w:hAnsi="仿宋" w:cs="仿宋"/>
          <w:szCs w:val="28"/>
        </w:rPr>
        <w:t>财政支出绩效评价管理暂行办法</w:t>
      </w:r>
      <w:r>
        <w:rPr>
          <w:rFonts w:hint="eastAsia" w:ascii="仿宋" w:hAnsi="仿宋" w:cs="仿宋"/>
          <w:szCs w:val="28"/>
          <w:lang w:eastAsia="zh-CN"/>
        </w:rPr>
        <w:t>》《</w:t>
      </w:r>
      <w:r>
        <w:rPr>
          <w:rFonts w:hint="eastAsia" w:ascii="仿宋" w:hAnsi="仿宋" w:cs="仿宋"/>
          <w:szCs w:val="28"/>
        </w:rPr>
        <w:t>山西省预算绩效评价管理办法》及《运城市财政支出绩效评价管理办法》等文件的精神和相关要求，我们按照绩效评价工作方案确定了评价指标、评价标准和评价方法，对评价对象的绩效情况进行全面的定量定性分析和综合评价，形成了本报告。</w:t>
      </w:r>
    </w:p>
    <w:p>
      <w:pPr>
        <w:spacing w:line="600" w:lineRule="exact"/>
        <w:ind w:firstLine="562"/>
        <w:outlineLvl w:val="0"/>
        <w:rPr>
          <w:rFonts w:ascii="仿宋" w:hAnsi="仿宋" w:cs="仿宋"/>
          <w:b/>
          <w:bCs/>
          <w:szCs w:val="28"/>
        </w:rPr>
      </w:pPr>
      <w:bookmarkStart w:id="13" w:name="_Toc29983"/>
      <w:bookmarkStart w:id="14" w:name="_Toc12975"/>
      <w:r>
        <w:rPr>
          <w:rFonts w:hint="eastAsia" w:ascii="仿宋" w:hAnsi="仿宋" w:cs="仿宋"/>
          <w:b/>
          <w:bCs/>
          <w:szCs w:val="28"/>
        </w:rPr>
        <w:t>一、基本情况</w:t>
      </w:r>
      <w:bookmarkEnd w:id="13"/>
      <w:bookmarkEnd w:id="14"/>
    </w:p>
    <w:p>
      <w:pPr>
        <w:spacing w:line="600" w:lineRule="exact"/>
        <w:ind w:firstLine="562"/>
        <w:outlineLvl w:val="1"/>
        <w:rPr>
          <w:rFonts w:hint="eastAsia" w:ascii="仿宋" w:hAnsi="仿宋" w:eastAsia="仿宋" w:cs="仿宋"/>
          <w:b/>
          <w:bCs/>
          <w:szCs w:val="28"/>
          <w:lang w:val="en-US" w:eastAsia="zh-CN"/>
        </w:rPr>
      </w:pPr>
      <w:bookmarkStart w:id="15" w:name="_Toc25816"/>
      <w:bookmarkStart w:id="16" w:name="_Toc11904"/>
      <w:r>
        <w:rPr>
          <w:rFonts w:hint="eastAsia" w:ascii="仿宋" w:hAnsi="仿宋" w:cs="仿宋"/>
          <w:b/>
          <w:bCs/>
          <w:szCs w:val="28"/>
        </w:rPr>
        <w:t>（一）</w:t>
      </w:r>
      <w:bookmarkEnd w:id="15"/>
      <w:bookmarkEnd w:id="16"/>
      <w:r>
        <w:rPr>
          <w:rFonts w:hint="eastAsia" w:ascii="仿宋" w:hAnsi="仿宋" w:cs="仿宋"/>
          <w:b/>
          <w:bCs/>
          <w:szCs w:val="28"/>
          <w:lang w:eastAsia="zh-CN"/>
        </w:rPr>
        <w:t>立项背景及目的</w:t>
      </w:r>
    </w:p>
    <w:p>
      <w:pPr>
        <w:spacing w:line="360" w:lineRule="auto"/>
        <w:ind w:firstLine="560"/>
        <w:rPr>
          <w:rFonts w:hint="eastAsia" w:ascii="仿宋" w:hAnsi="仿宋" w:cs="仿宋"/>
          <w:szCs w:val="28"/>
        </w:rPr>
      </w:pPr>
      <w:r>
        <w:rPr>
          <w:rFonts w:hint="eastAsia" w:ascii="仿宋" w:hAnsi="仿宋" w:cs="仿宋"/>
          <w:szCs w:val="28"/>
        </w:rPr>
        <w:t>20</w:t>
      </w:r>
      <w:r>
        <w:rPr>
          <w:rFonts w:hint="eastAsia" w:ascii="仿宋" w:hAnsi="仿宋" w:cs="仿宋"/>
          <w:szCs w:val="28"/>
          <w:highlight w:val="none"/>
        </w:rPr>
        <w:t xml:space="preserve">20 年 1 </w:t>
      </w:r>
      <w:r>
        <w:rPr>
          <w:rFonts w:hint="eastAsia" w:ascii="仿宋" w:hAnsi="仿宋" w:cs="仿宋"/>
          <w:szCs w:val="28"/>
        </w:rPr>
        <w:t>月，突发而来的新型冠状病毒肺炎疫情在全国各地扩散蔓 延，党中央、国务院高度重视，习近平总书记作出重要指示，要求把人民 群众生命安全和身体健康放在第一位，全力做好防控工作。为全面落实党 中央、国务院和省委、省政府关于疫情防控的决策部署，遏制疫情蔓延势 头，支持打赢疫情防控攻坚战，保障人民群众生命安全和身体健康，山西省人民政府印发《山西省科学防治精准施策分区分级做好新冠肺炎疫情防控工作的实施方案》，要求全省各地要按照“突出重点、统筹兼顾、分类 指导、分区施策 ”的原则分层分区分级响应，精准精确精细化发起抗击疫情歼灭战。</w:t>
      </w:r>
    </w:p>
    <w:p>
      <w:pPr>
        <w:spacing w:line="360" w:lineRule="auto"/>
        <w:ind w:firstLine="560"/>
        <w:rPr>
          <w:rFonts w:hint="eastAsia" w:ascii="仿宋" w:hAnsi="仿宋" w:cs="仿宋"/>
          <w:szCs w:val="28"/>
        </w:rPr>
      </w:pPr>
      <w:r>
        <w:rPr>
          <w:rFonts w:hint="eastAsia" w:ascii="仿宋" w:hAnsi="仿宋" w:cs="仿宋"/>
          <w:szCs w:val="28"/>
        </w:rPr>
        <w:t>根据山西省委、省政府自 2020年1月25日18时起启动重大突发公共卫生事件一级响应公告精神，</w:t>
      </w:r>
      <w:r>
        <w:rPr>
          <w:rFonts w:hint="eastAsia" w:ascii="仿宋" w:hAnsi="仿宋" w:cs="仿宋"/>
          <w:szCs w:val="28"/>
          <w:lang w:eastAsia="zh-CN"/>
        </w:rPr>
        <w:t>平陆县</w:t>
      </w:r>
      <w:r>
        <w:rPr>
          <w:rFonts w:hint="eastAsia" w:ascii="仿宋" w:hAnsi="仿宋" w:cs="仿宋"/>
          <w:szCs w:val="28"/>
        </w:rPr>
        <w:t>人民政府按照《</w:t>
      </w:r>
      <w:r>
        <w:rPr>
          <w:rFonts w:hint="eastAsia" w:ascii="仿宋" w:hAnsi="仿宋" w:cs="仿宋"/>
          <w:szCs w:val="28"/>
          <w:lang w:eastAsia="zh-CN"/>
        </w:rPr>
        <w:t>运城</w:t>
      </w:r>
      <w:r>
        <w:rPr>
          <w:rFonts w:hint="eastAsia" w:ascii="仿宋" w:hAnsi="仿宋" w:cs="仿宋"/>
          <w:szCs w:val="28"/>
        </w:rPr>
        <w:t>市突发公共卫生事件应急预案》要求，决定于1月25日18时起同步启动重大突发公共卫生事件一级响应，成立</w:t>
      </w:r>
      <w:r>
        <w:rPr>
          <w:rFonts w:hint="eastAsia" w:ascii="仿宋" w:hAnsi="仿宋" w:cs="仿宋"/>
          <w:szCs w:val="28"/>
          <w:lang w:eastAsia="zh-CN"/>
        </w:rPr>
        <w:t>平陆县</w:t>
      </w:r>
      <w:r>
        <w:rPr>
          <w:rFonts w:hint="eastAsia" w:ascii="仿宋" w:hAnsi="仿宋" w:cs="仿宋"/>
          <w:szCs w:val="28"/>
        </w:rPr>
        <w:t>疫情防控应急指挥部</w:t>
      </w:r>
      <w:r>
        <w:rPr>
          <w:rFonts w:hint="eastAsia" w:ascii="仿宋" w:hAnsi="仿宋" w:cs="仿宋"/>
          <w:szCs w:val="28"/>
          <w:lang w:eastAsia="zh-CN"/>
        </w:rPr>
        <w:t>，</w:t>
      </w:r>
      <w:r>
        <w:rPr>
          <w:rFonts w:ascii="仿宋" w:hAnsi="仿宋" w:eastAsia="仿宋" w:cs="仿宋"/>
          <w:spacing w:val="-5"/>
          <w:sz w:val="28"/>
          <w:szCs w:val="28"/>
        </w:rPr>
        <w:t>由</w:t>
      </w:r>
      <w:r>
        <w:rPr>
          <w:rFonts w:hint="eastAsia" w:ascii="仿宋" w:hAnsi="仿宋" w:cs="仿宋"/>
          <w:spacing w:val="-5"/>
          <w:sz w:val="28"/>
          <w:szCs w:val="28"/>
          <w:lang w:eastAsia="zh-CN"/>
        </w:rPr>
        <w:t>县</w:t>
      </w:r>
      <w:r>
        <w:rPr>
          <w:rFonts w:ascii="仿宋" w:hAnsi="仿宋" w:eastAsia="仿宋" w:cs="仿宋"/>
          <w:spacing w:val="-5"/>
          <w:sz w:val="28"/>
          <w:szCs w:val="28"/>
        </w:rPr>
        <w:t>委、</w:t>
      </w:r>
      <w:r>
        <w:rPr>
          <w:rFonts w:hint="eastAsia" w:ascii="仿宋" w:hAnsi="仿宋" w:cs="仿宋"/>
          <w:spacing w:val="-5"/>
          <w:sz w:val="28"/>
          <w:szCs w:val="28"/>
          <w:lang w:eastAsia="zh-CN"/>
        </w:rPr>
        <w:t>县</w:t>
      </w:r>
      <w:r>
        <w:rPr>
          <w:rFonts w:ascii="仿宋" w:hAnsi="仿宋" w:eastAsia="仿宋" w:cs="仿宋"/>
          <w:spacing w:val="-5"/>
          <w:sz w:val="28"/>
          <w:szCs w:val="28"/>
        </w:rPr>
        <w:t>政府</w:t>
      </w:r>
      <w:r>
        <w:rPr>
          <w:rFonts w:hint="eastAsia" w:ascii="仿宋" w:hAnsi="仿宋" w:eastAsia="仿宋" w:cs="仿宋"/>
          <w:spacing w:val="-5"/>
          <w:sz w:val="28"/>
          <w:szCs w:val="28"/>
        </w:rPr>
        <w:t>主要领导任总指挥长，各分管领导按分工落实领导责任，对疫情进行联防 联控，并进一步明确了各部门职责。同时，为应对疫情防控工作，</w:t>
      </w:r>
      <w:r>
        <w:rPr>
          <w:rFonts w:hint="eastAsia" w:ascii="仿宋" w:hAnsi="仿宋" w:cs="仿宋"/>
          <w:spacing w:val="-5"/>
          <w:sz w:val="28"/>
          <w:szCs w:val="28"/>
          <w:lang w:eastAsia="zh-CN"/>
        </w:rPr>
        <w:t>平陆县</w:t>
      </w:r>
      <w:r>
        <w:rPr>
          <w:rFonts w:hint="eastAsia" w:ascii="仿宋" w:hAnsi="仿宋" w:eastAsia="仿宋" w:cs="仿宋"/>
          <w:spacing w:val="-5"/>
          <w:sz w:val="28"/>
          <w:szCs w:val="28"/>
        </w:rPr>
        <w:t>财政局根据《财政部国家卫生健康委关于新型冠状病毒感染肺炎疫情防控有关经费保障政策的通知》紧急下达、拨付对疫 情防控工作的资金支持，切实保障医疗物资、生活物资到位，舆情引导工作到位，机构运转到位，领导组、指挥部等机构高效、有序、有力运转</w:t>
      </w:r>
      <w:r>
        <w:rPr>
          <w:rFonts w:hint="eastAsia" w:ascii="仿宋" w:hAnsi="仿宋" w:cs="仿宋"/>
          <w:szCs w:val="28"/>
        </w:rPr>
        <w:t>。</w:t>
      </w:r>
    </w:p>
    <w:p>
      <w:pPr>
        <w:numPr>
          <w:ilvl w:val="0"/>
          <w:numId w:val="2"/>
        </w:numPr>
        <w:spacing w:line="600" w:lineRule="exact"/>
        <w:ind w:firstLine="562"/>
        <w:outlineLvl w:val="1"/>
        <w:rPr>
          <w:rFonts w:hint="eastAsia" w:ascii="仿宋" w:hAnsi="仿宋" w:cs="仿宋"/>
          <w:b/>
          <w:bCs/>
          <w:szCs w:val="28"/>
        </w:rPr>
      </w:pPr>
      <w:bookmarkStart w:id="17" w:name="_Toc27904"/>
      <w:r>
        <w:rPr>
          <w:rFonts w:hint="eastAsia" w:ascii="仿宋" w:hAnsi="仿宋" w:cs="仿宋"/>
          <w:b/>
          <w:bCs/>
          <w:szCs w:val="28"/>
          <w:lang w:eastAsia="zh-CN"/>
        </w:rPr>
        <w:t>立项依据</w:t>
      </w:r>
      <w:bookmarkEnd w:id="17"/>
    </w:p>
    <w:p>
      <w:pPr>
        <w:spacing w:line="360" w:lineRule="auto"/>
        <w:ind w:firstLine="560"/>
        <w:outlineLvl w:val="9"/>
        <w:rPr>
          <w:rFonts w:hint="eastAsia" w:ascii="仿宋" w:hAnsi="仿宋" w:cs="仿宋"/>
          <w:szCs w:val="28"/>
        </w:rPr>
      </w:pPr>
      <w:r>
        <w:rPr>
          <w:rFonts w:hint="eastAsia" w:ascii="仿宋" w:hAnsi="仿宋" w:cs="仿宋"/>
          <w:szCs w:val="28"/>
        </w:rPr>
        <w:t>l</w:t>
      </w:r>
      <w:r>
        <w:rPr>
          <w:rFonts w:hint="eastAsia" w:ascii="仿宋" w:hAnsi="仿宋" w:cs="仿宋"/>
          <w:szCs w:val="28"/>
          <w:lang w:eastAsia="zh-CN"/>
        </w:rPr>
        <w:t>.《中华人民共和国传染病防治法》；</w:t>
      </w:r>
    </w:p>
    <w:p>
      <w:pPr>
        <w:spacing w:line="360" w:lineRule="auto"/>
        <w:ind w:firstLine="560"/>
        <w:outlineLvl w:val="9"/>
        <w:rPr>
          <w:rFonts w:hint="eastAsia" w:ascii="仿宋" w:hAnsi="仿宋" w:eastAsia="仿宋" w:cs="仿宋"/>
          <w:b w:val="0"/>
          <w:bCs w:val="0"/>
          <w:szCs w:val="28"/>
          <w:lang w:eastAsia="zh-CN"/>
        </w:rPr>
      </w:pPr>
      <w:r>
        <w:rPr>
          <w:rFonts w:hint="eastAsia" w:ascii="仿宋" w:hAnsi="仿宋" w:cs="仿宋"/>
          <w:szCs w:val="28"/>
        </w:rPr>
        <w:t>2、《突发公共卫生事件应急条例》</w:t>
      </w:r>
      <w:r>
        <w:rPr>
          <w:rFonts w:hint="eastAsia" w:ascii="仿宋" w:hAnsi="仿宋" w:cs="仿宋"/>
          <w:szCs w:val="28"/>
          <w:lang w:eastAsia="zh-CN"/>
        </w:rPr>
        <w:t>；</w:t>
      </w:r>
    </w:p>
    <w:p>
      <w:pPr>
        <w:spacing w:line="360" w:lineRule="auto"/>
        <w:ind w:firstLine="560"/>
        <w:outlineLvl w:val="9"/>
        <w:rPr>
          <w:rFonts w:hint="eastAsia" w:ascii="仿宋" w:hAnsi="仿宋" w:cs="仿宋"/>
          <w:szCs w:val="28"/>
        </w:rPr>
      </w:pPr>
      <w:r>
        <w:rPr>
          <w:rFonts w:hint="eastAsia" w:ascii="仿宋" w:hAnsi="仿宋" w:cs="仿宋"/>
          <w:szCs w:val="28"/>
        </w:rPr>
        <w:t>3、《山西省科学防治精准施策分区分级做好新冠肺炎疫情防控工</w:t>
      </w:r>
    </w:p>
    <w:p>
      <w:pPr>
        <w:spacing w:line="360" w:lineRule="auto"/>
        <w:ind w:firstLine="560"/>
        <w:outlineLvl w:val="9"/>
        <w:rPr>
          <w:rFonts w:hint="eastAsia" w:ascii="仿宋" w:hAnsi="仿宋" w:eastAsia="仿宋" w:cs="仿宋"/>
          <w:szCs w:val="28"/>
          <w:lang w:eastAsia="zh-CN"/>
        </w:rPr>
      </w:pPr>
      <w:r>
        <w:rPr>
          <w:rFonts w:hint="eastAsia" w:ascii="仿宋" w:hAnsi="仿宋" w:cs="仿宋"/>
          <w:szCs w:val="28"/>
        </w:rPr>
        <w:t>作的实施方案》</w:t>
      </w:r>
      <w:r>
        <w:rPr>
          <w:rFonts w:hint="eastAsia" w:ascii="仿宋" w:hAnsi="仿宋" w:cs="仿宋"/>
          <w:szCs w:val="28"/>
          <w:lang w:eastAsia="zh-CN"/>
        </w:rPr>
        <w:t>；</w:t>
      </w:r>
    </w:p>
    <w:p>
      <w:pPr>
        <w:spacing w:line="600" w:lineRule="exact"/>
        <w:ind w:firstLine="562"/>
        <w:outlineLvl w:val="1"/>
        <w:rPr>
          <w:rFonts w:ascii="仿宋" w:hAnsi="仿宋" w:cs="仿宋"/>
          <w:b/>
          <w:bCs/>
          <w:szCs w:val="28"/>
        </w:rPr>
      </w:pPr>
      <w:bookmarkStart w:id="18" w:name="_Toc20827"/>
      <w:bookmarkStart w:id="19" w:name="_Toc16882"/>
      <w:r>
        <w:rPr>
          <w:rFonts w:hint="eastAsia" w:ascii="仿宋" w:hAnsi="仿宋" w:cs="仿宋"/>
          <w:b/>
          <w:bCs/>
          <w:szCs w:val="28"/>
        </w:rPr>
        <w:t>（三）项目预算及资金使用情况</w:t>
      </w:r>
      <w:bookmarkEnd w:id="18"/>
      <w:bookmarkEnd w:id="19"/>
    </w:p>
    <w:p>
      <w:pPr>
        <w:spacing w:line="610" w:lineRule="exact"/>
        <w:ind w:firstLine="560"/>
        <w:jc w:val="left"/>
        <w:rPr>
          <w:rFonts w:hint="eastAsia" w:ascii="仿宋" w:hAnsi="仿宋" w:cs="仿宋"/>
          <w:szCs w:val="28"/>
          <w:lang w:eastAsia="zh-CN"/>
        </w:rPr>
      </w:pPr>
      <w:r>
        <w:rPr>
          <w:rFonts w:hint="eastAsia" w:ascii="仿宋" w:hAnsi="仿宋" w:cs="仿宋"/>
          <w:szCs w:val="28"/>
        </w:rPr>
        <w:t>1、</w:t>
      </w:r>
      <w:r>
        <w:rPr>
          <w:rFonts w:hint="eastAsia" w:ascii="仿宋" w:hAnsi="仿宋" w:cs="仿宋"/>
          <w:szCs w:val="28"/>
          <w:lang w:eastAsia="zh-CN"/>
        </w:rPr>
        <w:t>资金来源</w:t>
      </w:r>
    </w:p>
    <w:p>
      <w:pPr>
        <w:spacing w:line="610" w:lineRule="exact"/>
        <w:ind w:firstLine="560"/>
        <w:jc w:val="left"/>
        <w:rPr>
          <w:rFonts w:hint="eastAsia" w:ascii="仿宋" w:hAnsi="仿宋" w:cs="仿宋"/>
          <w:szCs w:val="28"/>
          <w:lang w:eastAsia="zh-CN"/>
        </w:rPr>
      </w:pPr>
      <w:r>
        <w:rPr>
          <w:rFonts w:hint="eastAsia" w:ascii="仿宋" w:hAnsi="仿宋" w:cs="仿宋"/>
          <w:szCs w:val="28"/>
          <w:lang w:eastAsia="zh-CN"/>
        </w:rPr>
        <w:t>平陆县新型冠状病毒疫情防控专项资金来源为上级拨入专项资金、</w:t>
      </w:r>
    </w:p>
    <w:p>
      <w:pPr>
        <w:spacing w:line="610" w:lineRule="exact"/>
        <w:ind w:left="0" w:leftChars="0" w:firstLine="0" w:firstLineChars="0"/>
        <w:jc w:val="left"/>
        <w:rPr>
          <w:rFonts w:hint="eastAsia" w:ascii="仿宋" w:hAnsi="仿宋" w:cs="仿宋"/>
          <w:szCs w:val="28"/>
          <w:lang w:eastAsia="zh-CN"/>
        </w:rPr>
      </w:pPr>
      <w:r>
        <w:rPr>
          <w:rFonts w:hint="eastAsia" w:ascii="仿宋" w:hAnsi="仿宋" w:cs="仿宋"/>
          <w:szCs w:val="28"/>
          <w:lang w:eastAsia="zh-CN"/>
        </w:rPr>
        <w:t>本级财政安排资金及其他资金。</w:t>
      </w:r>
    </w:p>
    <w:p>
      <w:pPr>
        <w:numPr>
          <w:ilvl w:val="0"/>
          <w:numId w:val="3"/>
        </w:numPr>
        <w:spacing w:line="610" w:lineRule="exact"/>
        <w:ind w:firstLine="560"/>
        <w:jc w:val="left"/>
        <w:rPr>
          <w:rFonts w:hint="eastAsia" w:ascii="仿宋" w:hAnsi="仿宋" w:cs="仿宋"/>
          <w:szCs w:val="28"/>
          <w:lang w:eastAsia="zh-CN"/>
        </w:rPr>
      </w:pPr>
      <w:r>
        <w:rPr>
          <w:rFonts w:hint="eastAsia" w:ascii="仿宋" w:hAnsi="仿宋" w:cs="仿宋"/>
          <w:szCs w:val="28"/>
          <w:lang w:eastAsia="zh-CN"/>
        </w:rPr>
        <w:t>资金使用</w:t>
      </w:r>
    </w:p>
    <w:p>
      <w:pPr>
        <w:numPr>
          <w:ilvl w:val="0"/>
          <w:numId w:val="0"/>
        </w:numPr>
        <w:spacing w:line="610" w:lineRule="exact"/>
        <w:ind w:firstLine="560"/>
        <w:jc w:val="left"/>
        <w:rPr>
          <w:rFonts w:hint="eastAsia" w:ascii="仿宋" w:hAnsi="仿宋" w:cs="仿宋"/>
          <w:szCs w:val="28"/>
          <w:lang w:val="en-US" w:eastAsia="zh-CN"/>
        </w:rPr>
      </w:pPr>
      <w:r>
        <w:rPr>
          <w:rFonts w:hint="eastAsia" w:ascii="仿宋" w:hAnsi="仿宋" w:cs="仿宋"/>
          <w:szCs w:val="28"/>
          <w:lang w:val="en-US" w:eastAsia="zh-CN"/>
        </w:rPr>
        <w:t>资金的使用按照《新型冠状病毒疫情防控专项资金管理办法》及财政国库管理制度有关规定执行。平陆县卫健局根据疫情防控开展情况及时跟区财政局协调解决资金保障工作，局直各单位根据工作实际，以正式文件形式向平陆县卫健局提报资金需求，相应需求资金经平陆县卫健局局长及分管领导签字同意后，由平陆县卫健局填报国库专项资金审批表申请拨付。</w:t>
      </w:r>
    </w:p>
    <w:p>
      <w:pPr>
        <w:numPr>
          <w:ilvl w:val="0"/>
          <w:numId w:val="0"/>
        </w:numPr>
        <w:spacing w:line="610" w:lineRule="exact"/>
        <w:ind w:firstLine="560"/>
        <w:jc w:val="center"/>
        <w:rPr>
          <w:rFonts w:hint="eastAsia" w:ascii="仿宋" w:hAnsi="仿宋" w:cs="仿宋"/>
          <w:szCs w:val="28"/>
          <w:lang w:val="en-US" w:eastAsia="zh-CN"/>
        </w:rPr>
      </w:pPr>
      <w:r>
        <w:rPr>
          <w:rFonts w:hint="eastAsia" w:ascii="仿宋" w:hAnsi="仿宋" w:cs="仿宋"/>
          <w:szCs w:val="28"/>
          <w:lang w:val="en-US" w:eastAsia="zh-CN"/>
        </w:rPr>
        <w:t>表1 项目资金使用情况明细表</w:t>
      </w:r>
    </w:p>
    <w:tbl>
      <w:tblPr>
        <w:tblStyle w:val="16"/>
        <w:tblW w:w="970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7"/>
        <w:gridCol w:w="1705"/>
        <w:gridCol w:w="1704"/>
        <w:gridCol w:w="1629"/>
        <w:gridCol w:w="29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收入金额</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支出金额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支出明细</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用途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平陆县人民医院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11,439,175.00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10,711,840.99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165,775.00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疫情防控点取暖费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569,800.00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负压救护车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79,200.00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负压隔离舱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6,378,337.69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1,874,400.00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检验科全自动医用PCR分析系统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54,394.90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隔离区水费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118,838.57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污水处理费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80,000.00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隔离点电费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2,198.00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疫情隔离点宽带费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2,400.00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晋快检手机话费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7,000.00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隔离区医疗废物处置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125,510.00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疫苗接种医疗保障人员差旅及返平人员转运过路费等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76,476.00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PCR实验室升级改造费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50,000.00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入平人员转运救护车燃油费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3,478.00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隔离区封闭医护人员餐费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1,522.00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医疗垃圾桶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5,980.00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疫情核酸采集用手机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665,340.00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发热门诊暨核酸检测用房工程款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36,709.00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发热门诊暨核酸检测用房标识标牌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27,000.00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发热门诊暨核酸检测用房监理费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5,700.00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发热门诊暨核酸检测用房工程预算造价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45,000.00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发热门诊暨核酸检测用房设计费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195,000.00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救护车款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4,410.35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救护车保险费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17,256.64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车辆购置税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救护车上户费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25,200.00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2022年春节期间值班人员补助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13,330.00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隔离点维修安装费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6,590.00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住院部门禁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24,238.00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医疗垃圾桶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4,440.00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PCR实验室职工餐费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301.00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隔离点隔离学生餐费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8,781.00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医疗废物袋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36,184.84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隔离点隔离人员医疗费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平陆县医疗集团洪池镇卫生院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38,605.22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38,605.22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17,510.00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核酸采集运送差旅费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8,466.00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疫情防控采送核酸燃油费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12,629.22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防控物资款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平陆县医疗集团常乐镇中心卫生院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126,883.10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85,070.00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19,450.00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采集运送核酸标本差旅费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38,158.00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运送核酸标本车辆燃油费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27,462.00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平陆县医疗集团张村镇卫生院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38,578.00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38,085.00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14,860.00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15,145.00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8,080.00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疫情防控车辆燃油费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平陆县张村镇卫生院老城分院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116,022.29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116,022.29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26,380.00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89,642.29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专用材料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平陆县医疗集团杜马乡卫生院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50,916.70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50,916.70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22,987.34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8,939.36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核酸转运车辆油款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18,990.00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平陆县部官镇卫生院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66,909.00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65,904.00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22,711.00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支疫情防控物资费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4,847.00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支疫情防控车辆燃油费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1,986.00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支疫情防控租车费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36,360.00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支核酸采集差旅费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平陆县医疗集团张店镇中心卫生院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104,320.46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104,320.46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26,100.00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采集运送核酸标本差旅费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29,912.00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运送核酸标本车辆燃油费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48,308.46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平陆县圣人涧镇中心卫生院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101,281.75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84,298.00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62,508.00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购疫情物资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17,590.00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4,200.00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黄河大桥人员补助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平陆县医疗集团圣人涧镇中心卫生院晴岚分院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47,158.23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37,269.00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21,850.00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15,419.00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平陆县医疗集团圣人涧镇中心卫生院南村分院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57,994.46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57,994.46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28,514.46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8,050.00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核酸采集转运车辆加油和租车费用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21,430.00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核酸采集转运差旅费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平陆县三门镇卫生院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56,062.00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56,062.00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30,142.00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支疫情防控物资费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16,290.00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支疫情防控租车费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9,630.00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支核酸采集差旅费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平陆县三门镇卫生院坡底分院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51,399.23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51,399.23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24,424.23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防控物资款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4,725.00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疫情防控采送核酸燃油费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22,250.00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核酸采集运送差旅费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平陆县曹川镇中心卫生院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199,431.66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193,384.75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41,650.00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45,865.09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核酸转运车辆加油款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105,869.66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平陆县妇幼保健计划生育服务中心</w:t>
            </w: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4,900.00 </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4,900.00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4,900.00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春节值班补助（2022.5#20）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平陆县中医医院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232,500.00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232,501.00 </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197,855.64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救护车购置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17,256.64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车辆购置税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1,050.00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车辆上户费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3,837.72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车辆附属配置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12,500.00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2022年春节期间疫情防控值班值守人员补助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平陆县疾病预防控制中心</w:t>
            </w:r>
          </w:p>
        </w:tc>
        <w:tc>
          <w:tcPr>
            <w:tcW w:w="1705" w:type="dxa"/>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12,649,244.00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11,927,281.00 </w:t>
            </w:r>
          </w:p>
        </w:tc>
        <w:tc>
          <w:tcPr>
            <w:tcW w:w="1629"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3,287,400.00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PCR实验室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3,560,637.00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移动核酸检测车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4,959,244.00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疫情防控物资、实验室物资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120,000.00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用于日常办公、差旅等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平陆县中医癫痫脑病医院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224,612.28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224,613.28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4,900.00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2022年春节期间疫情防控值班值守人员补助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219,712.28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购买救护车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平陆县张村镇卫生院老城分院</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116,022.29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116,022.29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26,380.00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差旅费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89,642.29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专用材料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卫健局本部</w:t>
            </w:r>
          </w:p>
        </w:tc>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2,688,075.49 </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2,688,076.49 </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1,274,510.00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隔离酒店租赁费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4,200.00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2022年春节期间疫情防控值班值守人员补助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59,384.00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云视频会议费用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218,438.00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电子门禁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仿宋" w:hAnsi="仿宋" w:eastAsia="仿宋" w:cs="仿宋"/>
                <w:i w:val="0"/>
                <w:iCs w:val="0"/>
                <w:color w:val="000000"/>
                <w:sz w:val="15"/>
                <w:szCs w:val="15"/>
                <w:u w:val="none"/>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1,131,543.49 </w:t>
            </w:r>
          </w:p>
        </w:tc>
        <w:tc>
          <w:tcPr>
            <w:tcW w:w="2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隔离酒店租赁费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28,410,091.16 </w:t>
            </w:r>
          </w:p>
        </w:tc>
        <w:tc>
          <w:tcPr>
            <w:tcW w:w="33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15"/>
                <w:szCs w:val="15"/>
                <w:u w:val="none"/>
              </w:rPr>
            </w:pPr>
            <w:r>
              <w:rPr>
                <w:rFonts w:hint="eastAsia" w:ascii="仿宋" w:hAnsi="仿宋" w:eastAsia="仿宋" w:cs="仿宋"/>
                <w:i w:val="0"/>
                <w:iCs w:val="0"/>
                <w:color w:val="000000"/>
                <w:kern w:val="0"/>
                <w:sz w:val="15"/>
                <w:szCs w:val="15"/>
                <w:u w:val="none"/>
                <w:lang w:val="en-US" w:eastAsia="zh-CN" w:bidi="ar"/>
              </w:rPr>
              <w:t xml:space="preserve">26,884,563.16 </w:t>
            </w:r>
          </w:p>
        </w:tc>
        <w:tc>
          <w:tcPr>
            <w:tcW w:w="2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结余：1,525,528.00</w:t>
            </w:r>
          </w:p>
        </w:tc>
      </w:tr>
    </w:tbl>
    <w:p>
      <w:pPr>
        <w:spacing w:line="600" w:lineRule="exact"/>
        <w:ind w:firstLine="562"/>
        <w:outlineLvl w:val="1"/>
        <w:rPr>
          <w:rFonts w:ascii="仿宋" w:hAnsi="仿宋" w:cs="仿宋"/>
          <w:b/>
          <w:bCs/>
          <w:szCs w:val="28"/>
        </w:rPr>
      </w:pPr>
      <w:bookmarkStart w:id="20" w:name="_Toc25512"/>
      <w:bookmarkStart w:id="21" w:name="_Toc22471"/>
      <w:r>
        <w:rPr>
          <w:rFonts w:hint="eastAsia" w:ascii="仿宋" w:hAnsi="仿宋" w:cs="仿宋"/>
          <w:b/>
          <w:bCs/>
          <w:szCs w:val="28"/>
        </w:rPr>
        <w:t>（四）项目主要内容和实施情况</w:t>
      </w:r>
      <w:bookmarkEnd w:id="20"/>
      <w:bookmarkEnd w:id="21"/>
    </w:p>
    <w:p>
      <w:pPr>
        <w:spacing w:line="600" w:lineRule="exact"/>
        <w:ind w:firstLine="560"/>
        <w:rPr>
          <w:rFonts w:hint="eastAsia" w:ascii="仿宋" w:hAnsi="仿宋" w:cs="仿宋"/>
          <w:szCs w:val="28"/>
          <w:highlight w:val="none"/>
        </w:rPr>
      </w:pPr>
      <w:r>
        <w:rPr>
          <w:rFonts w:hint="eastAsia" w:ascii="仿宋" w:hAnsi="仿宋" w:cs="仿宋"/>
          <w:szCs w:val="28"/>
          <w:highlight w:val="none"/>
        </w:rPr>
        <w:t>该项目的主要内容为新型冠状病毒疫情防控物资的采购以及工作经费保障。</w:t>
      </w:r>
    </w:p>
    <w:p>
      <w:pPr>
        <w:spacing w:line="600" w:lineRule="exact"/>
        <w:ind w:firstLine="560"/>
        <w:rPr>
          <w:rFonts w:hint="eastAsia" w:ascii="仿宋" w:hAnsi="仿宋" w:cs="仿宋"/>
          <w:szCs w:val="28"/>
          <w:highlight w:val="none"/>
        </w:rPr>
      </w:pPr>
      <w:r>
        <w:rPr>
          <w:rFonts w:hint="eastAsia" w:ascii="仿宋" w:hAnsi="仿宋" w:cs="仿宋"/>
          <w:szCs w:val="28"/>
          <w:highlight w:val="none"/>
        </w:rPr>
        <w:t>该项目</w:t>
      </w:r>
      <w:r>
        <w:rPr>
          <w:rFonts w:hint="eastAsia" w:ascii="仿宋" w:hAnsi="仿宋" w:cs="仿宋"/>
          <w:szCs w:val="28"/>
          <w:highlight w:val="none"/>
          <w:lang w:eastAsia="zh-CN"/>
        </w:rPr>
        <w:t>资金主要为平陆县人民医院配备了全自动医用PCR分析系统、救护车，为平陆县疾控中心添置了</w:t>
      </w:r>
      <w:r>
        <w:rPr>
          <w:rFonts w:hint="eastAsia" w:ascii="仿宋" w:hAnsi="仿宋" w:cs="仿宋"/>
          <w:szCs w:val="28"/>
          <w:highlight w:val="none"/>
          <w:lang w:val="en-US" w:eastAsia="zh-CN"/>
        </w:rPr>
        <w:t>PCR实验室、移动核酸检测车，为局直单位和各乡镇卫生院提供了疫情防控物资款、核酸采集转运款等防疫相关款项。</w:t>
      </w:r>
      <w:r>
        <w:rPr>
          <w:rFonts w:hint="eastAsia" w:ascii="仿宋" w:hAnsi="仿宋" w:cs="仿宋"/>
          <w:szCs w:val="28"/>
          <w:highlight w:val="none"/>
        </w:rPr>
        <w:t>提供资金合计</w:t>
      </w:r>
      <w:r>
        <w:rPr>
          <w:rFonts w:hint="eastAsia" w:ascii="仿宋" w:hAnsi="仿宋" w:cs="仿宋"/>
          <w:szCs w:val="28"/>
          <w:highlight w:val="none"/>
          <w:lang w:val="en-US" w:eastAsia="zh-CN"/>
        </w:rPr>
        <w:t>2,841.00</w:t>
      </w:r>
      <w:r>
        <w:rPr>
          <w:rFonts w:hint="eastAsia" w:ascii="仿宋" w:hAnsi="仿宋" w:cs="仿宋"/>
          <w:szCs w:val="28"/>
          <w:highlight w:val="none"/>
        </w:rPr>
        <w:t>万元，有效保障了疫情防控工作顺利进行。</w:t>
      </w:r>
    </w:p>
    <w:p>
      <w:pPr>
        <w:spacing w:line="600" w:lineRule="exact"/>
        <w:ind w:firstLine="562"/>
        <w:outlineLvl w:val="0"/>
        <w:rPr>
          <w:rFonts w:ascii="仿宋" w:hAnsi="仿宋" w:cs="仿宋"/>
          <w:b/>
          <w:bCs/>
          <w:szCs w:val="28"/>
        </w:rPr>
      </w:pPr>
      <w:bookmarkStart w:id="22" w:name="_Toc8053"/>
      <w:bookmarkStart w:id="23" w:name="_Toc15982"/>
      <w:r>
        <w:rPr>
          <w:rFonts w:hint="eastAsia" w:ascii="仿宋" w:hAnsi="仿宋" w:cs="仿宋"/>
          <w:b/>
          <w:bCs/>
          <w:szCs w:val="28"/>
        </w:rPr>
        <w:t>二、绩效评价工作情况</w:t>
      </w:r>
      <w:bookmarkEnd w:id="22"/>
      <w:bookmarkEnd w:id="23"/>
    </w:p>
    <w:p>
      <w:pPr>
        <w:spacing w:line="600" w:lineRule="exact"/>
        <w:ind w:firstLine="562"/>
        <w:outlineLvl w:val="1"/>
        <w:rPr>
          <w:rFonts w:ascii="仿宋" w:hAnsi="仿宋" w:cs="仿宋"/>
          <w:b/>
          <w:bCs/>
          <w:szCs w:val="28"/>
        </w:rPr>
      </w:pPr>
      <w:bookmarkStart w:id="24" w:name="_Toc386"/>
      <w:r>
        <w:rPr>
          <w:rFonts w:hint="eastAsia" w:ascii="仿宋" w:hAnsi="仿宋" w:cs="仿宋"/>
          <w:b/>
          <w:bCs/>
          <w:szCs w:val="28"/>
        </w:rPr>
        <w:t>（一）绩效评价的目的</w:t>
      </w:r>
      <w:bookmarkEnd w:id="24"/>
    </w:p>
    <w:p>
      <w:pPr>
        <w:spacing w:line="610" w:lineRule="exact"/>
        <w:ind w:firstLine="560"/>
        <w:jc w:val="left"/>
        <w:rPr>
          <w:rFonts w:ascii="仿宋" w:hAnsi="仿宋" w:cs="仿宋"/>
          <w:szCs w:val="28"/>
        </w:rPr>
      </w:pPr>
      <w:r>
        <w:rPr>
          <w:rFonts w:hint="eastAsia" w:ascii="仿宋" w:hAnsi="仿宋" w:cs="仿宋"/>
          <w:szCs w:val="28"/>
        </w:rPr>
        <w:t>评价组通过查阅账簿、访谈、实地调研、调查问卷、走访等形式，收集</w:t>
      </w:r>
      <w:r>
        <w:rPr>
          <w:rFonts w:hint="eastAsia" w:ascii="仿宋" w:hAnsi="仿宋" w:cs="仿宋"/>
          <w:szCs w:val="28"/>
          <w:lang w:val="en-US" w:eastAsia="zh-CN"/>
        </w:rPr>
        <w:t>2022</w:t>
      </w:r>
      <w:r>
        <w:rPr>
          <w:rFonts w:hint="eastAsia" w:ascii="仿宋" w:hAnsi="仿宋" w:cs="仿宋"/>
          <w:szCs w:val="28"/>
        </w:rPr>
        <w:t>年</w:t>
      </w:r>
      <w:r>
        <w:rPr>
          <w:rFonts w:hint="eastAsia" w:ascii="仿宋" w:hAnsi="仿宋" w:cs="仿宋"/>
          <w:szCs w:val="28"/>
          <w:lang w:eastAsia="zh-CN"/>
        </w:rPr>
        <w:t>平陆县</w:t>
      </w:r>
      <w:r>
        <w:rPr>
          <w:rFonts w:hint="eastAsia" w:ascii="仿宋" w:hAnsi="仿宋" w:cs="仿宋"/>
          <w:szCs w:val="28"/>
        </w:rPr>
        <w:t>新冠肺炎疫情专项防控经费项目资金管理和使用、项目实施等资料，考察项目资金使用是否合规，项目管理制度是否健全以及制度的执行有效情况，分析项目是否达到预期产出和效益，综合衡量预算资金的绩效情况，及时发现该项目存在的问题，总结经验，提出改进意见和建议，进一步提高专项资金的使用效率。</w:t>
      </w:r>
    </w:p>
    <w:p>
      <w:pPr>
        <w:spacing w:line="600" w:lineRule="exact"/>
        <w:ind w:firstLine="562"/>
        <w:outlineLvl w:val="1"/>
        <w:rPr>
          <w:rFonts w:ascii="仿宋" w:hAnsi="仿宋" w:cs="仿宋"/>
          <w:b/>
          <w:bCs/>
          <w:szCs w:val="28"/>
        </w:rPr>
      </w:pPr>
      <w:bookmarkStart w:id="25" w:name="_Toc21909"/>
      <w:bookmarkStart w:id="26" w:name="_Toc7954"/>
      <w:r>
        <w:rPr>
          <w:rFonts w:hint="eastAsia" w:ascii="仿宋" w:hAnsi="仿宋" w:cs="仿宋"/>
          <w:b/>
          <w:bCs/>
          <w:szCs w:val="28"/>
        </w:rPr>
        <w:t>（二）绩效评价原则</w:t>
      </w:r>
      <w:bookmarkEnd w:id="25"/>
      <w:bookmarkEnd w:id="26"/>
    </w:p>
    <w:p>
      <w:pPr>
        <w:spacing w:line="610" w:lineRule="exact"/>
        <w:ind w:firstLine="560"/>
        <w:jc w:val="left"/>
        <w:rPr>
          <w:rFonts w:ascii="仿宋" w:hAnsi="仿宋" w:cs="仿宋"/>
          <w:szCs w:val="28"/>
        </w:rPr>
      </w:pPr>
      <w:bookmarkStart w:id="27" w:name="_Toc31550"/>
      <w:r>
        <w:rPr>
          <w:rFonts w:hint="eastAsia" w:ascii="仿宋" w:hAnsi="仿宋" w:cs="仿宋"/>
          <w:szCs w:val="28"/>
        </w:rPr>
        <w:t>1、独立原则。评价机构在委托方和被评价对象提供工作便利条件和相关资料情况下独立完成委托事项。</w:t>
      </w:r>
    </w:p>
    <w:p>
      <w:pPr>
        <w:spacing w:line="610" w:lineRule="exact"/>
        <w:ind w:firstLine="560"/>
        <w:jc w:val="left"/>
        <w:rPr>
          <w:rFonts w:ascii="仿宋" w:hAnsi="仿宋" w:cs="仿宋"/>
          <w:szCs w:val="28"/>
        </w:rPr>
      </w:pPr>
      <w:r>
        <w:rPr>
          <w:rFonts w:hint="eastAsia" w:ascii="仿宋" w:hAnsi="仿宋" w:cs="仿宋"/>
          <w:szCs w:val="28"/>
        </w:rPr>
        <w:t>2、客观原则。评价机构按照协议（合同）约定事项客观公正、</w:t>
      </w:r>
      <w:r>
        <w:rPr>
          <w:rFonts w:hint="eastAsia" w:ascii="仿宋" w:hAnsi="仿宋" w:cs="仿宋"/>
          <w:szCs w:val="28"/>
          <w:lang w:eastAsia="zh-CN"/>
        </w:rPr>
        <w:t>实事求是</w:t>
      </w:r>
      <w:r>
        <w:rPr>
          <w:rFonts w:hint="eastAsia" w:ascii="仿宋" w:hAnsi="仿宋" w:cs="仿宋"/>
          <w:szCs w:val="28"/>
        </w:rPr>
        <w:t>地开展预算绩效评价，通过实地查证取得佐证资料，比照评价工作方案设置评价标准，确保绩效评价报告真实、有效。</w:t>
      </w:r>
    </w:p>
    <w:p>
      <w:pPr>
        <w:spacing w:line="610" w:lineRule="exact"/>
        <w:ind w:firstLine="560"/>
        <w:jc w:val="left"/>
        <w:rPr>
          <w:rFonts w:ascii="仿宋" w:hAnsi="仿宋" w:cs="仿宋"/>
          <w:szCs w:val="28"/>
        </w:rPr>
      </w:pPr>
      <w:r>
        <w:rPr>
          <w:rFonts w:hint="eastAsia" w:ascii="仿宋" w:hAnsi="仿宋" w:cs="仿宋"/>
          <w:szCs w:val="28"/>
        </w:rPr>
        <w:t>3、规范原则。严格按照平陆县财政局</w:t>
      </w:r>
      <w:r>
        <w:rPr>
          <w:rFonts w:hint="eastAsia" w:ascii="仿宋" w:hAnsi="仿宋" w:cs="仿宋"/>
          <w:szCs w:val="28"/>
          <w:highlight w:val="none"/>
        </w:rPr>
        <w:t>《关于开展202</w:t>
      </w:r>
      <w:r>
        <w:rPr>
          <w:rFonts w:hint="eastAsia" w:ascii="仿宋" w:hAnsi="仿宋" w:cs="仿宋"/>
          <w:szCs w:val="28"/>
          <w:highlight w:val="none"/>
          <w:lang w:val="en-US" w:eastAsia="zh-CN"/>
        </w:rPr>
        <w:t>2</w:t>
      </w:r>
      <w:r>
        <w:rPr>
          <w:rFonts w:hint="eastAsia" w:ascii="仿宋" w:hAnsi="仿宋" w:cs="仿宋"/>
          <w:szCs w:val="28"/>
          <w:highlight w:val="none"/>
        </w:rPr>
        <w:t>年度财政</w:t>
      </w:r>
      <w:r>
        <w:rPr>
          <w:rFonts w:hint="eastAsia" w:ascii="仿宋" w:hAnsi="仿宋" w:cs="仿宋"/>
          <w:szCs w:val="28"/>
          <w:highlight w:val="none"/>
          <w:lang w:eastAsia="zh-CN"/>
        </w:rPr>
        <w:t>资金项目重点</w:t>
      </w:r>
      <w:r>
        <w:rPr>
          <w:rFonts w:hint="eastAsia" w:ascii="仿宋" w:hAnsi="仿宋" w:cs="仿宋"/>
          <w:szCs w:val="28"/>
          <w:highlight w:val="none"/>
        </w:rPr>
        <w:t>绩效评价工作的通知》（平财绩〔202</w:t>
      </w:r>
      <w:r>
        <w:rPr>
          <w:rFonts w:hint="eastAsia" w:ascii="仿宋" w:hAnsi="仿宋" w:cs="仿宋"/>
          <w:szCs w:val="28"/>
          <w:highlight w:val="none"/>
          <w:lang w:val="en-US" w:eastAsia="zh-CN"/>
        </w:rPr>
        <w:t>3</w:t>
      </w:r>
      <w:r>
        <w:rPr>
          <w:rFonts w:hint="eastAsia" w:ascii="仿宋" w:hAnsi="仿宋" w:cs="仿宋"/>
          <w:szCs w:val="28"/>
          <w:highlight w:val="none"/>
        </w:rPr>
        <w:t>〕</w:t>
      </w:r>
      <w:r>
        <w:rPr>
          <w:rFonts w:hint="eastAsia" w:ascii="仿宋" w:hAnsi="仿宋" w:cs="仿宋"/>
          <w:szCs w:val="28"/>
          <w:highlight w:val="none"/>
          <w:lang w:val="en-US" w:eastAsia="zh-CN"/>
        </w:rPr>
        <w:t>5</w:t>
      </w:r>
      <w:r>
        <w:rPr>
          <w:rFonts w:hint="eastAsia" w:ascii="仿宋" w:hAnsi="仿宋" w:cs="仿宋"/>
          <w:szCs w:val="28"/>
          <w:highlight w:val="none"/>
        </w:rPr>
        <w:t>号）要求</w:t>
      </w:r>
      <w:r>
        <w:rPr>
          <w:rFonts w:hint="eastAsia" w:ascii="仿宋" w:hAnsi="仿宋" w:cs="仿宋"/>
          <w:szCs w:val="28"/>
        </w:rPr>
        <w:t>和评价方案规定的程序，对原始资料进行必要的核查验证，形成结论并出具绩效评价报告。</w:t>
      </w:r>
    </w:p>
    <w:p>
      <w:pPr>
        <w:spacing w:line="600" w:lineRule="exact"/>
        <w:ind w:firstLine="562"/>
        <w:outlineLvl w:val="1"/>
        <w:rPr>
          <w:rFonts w:ascii="仿宋" w:hAnsi="仿宋" w:cs="仿宋"/>
          <w:b/>
          <w:bCs/>
          <w:szCs w:val="28"/>
        </w:rPr>
      </w:pPr>
      <w:bookmarkStart w:id="28" w:name="_Toc5289"/>
      <w:r>
        <w:rPr>
          <w:rFonts w:hint="eastAsia" w:ascii="仿宋" w:hAnsi="仿宋" w:cs="仿宋"/>
          <w:b/>
          <w:bCs/>
          <w:szCs w:val="28"/>
        </w:rPr>
        <w:t>（三）绩效评价的方</w:t>
      </w:r>
      <w:bookmarkEnd w:id="27"/>
      <w:r>
        <w:rPr>
          <w:rFonts w:hint="eastAsia" w:ascii="仿宋" w:hAnsi="仿宋" w:cs="仿宋"/>
          <w:b/>
          <w:bCs/>
          <w:szCs w:val="28"/>
        </w:rPr>
        <w:t>法</w:t>
      </w:r>
      <w:bookmarkEnd w:id="28"/>
    </w:p>
    <w:p>
      <w:pPr>
        <w:spacing w:line="610" w:lineRule="exact"/>
        <w:ind w:firstLine="560"/>
        <w:jc w:val="left"/>
        <w:rPr>
          <w:rFonts w:ascii="仿宋" w:hAnsi="仿宋" w:cs="仿宋"/>
          <w:szCs w:val="28"/>
        </w:rPr>
      </w:pPr>
      <w:r>
        <w:rPr>
          <w:rFonts w:hint="eastAsia" w:ascii="仿宋" w:hAnsi="仿宋" w:cs="仿宋"/>
          <w:szCs w:val="28"/>
        </w:rPr>
        <w:t>本次绩效评价主要运用因素分析法、公众评判法等方法，本着科学价 值导向、客观公正、综合分析、群众满意、绩效相关评价原则，按照决策、 过程、产出和效益的绩效逻辑路径，结合本项目实施情况，根据设定的评价指标检验项目资金的产出和效果。</w:t>
      </w:r>
    </w:p>
    <w:p>
      <w:pPr>
        <w:spacing w:line="610" w:lineRule="exact"/>
        <w:ind w:firstLine="560"/>
        <w:jc w:val="left"/>
        <w:rPr>
          <w:rFonts w:ascii="仿宋" w:hAnsi="仿宋" w:cs="仿宋"/>
          <w:szCs w:val="28"/>
        </w:rPr>
      </w:pPr>
      <w:r>
        <w:rPr>
          <w:rFonts w:hint="eastAsia" w:ascii="仿宋" w:hAnsi="仿宋" w:cs="仿宋"/>
          <w:szCs w:val="28"/>
        </w:rPr>
        <w:t>1、因素分析法</w:t>
      </w:r>
    </w:p>
    <w:p>
      <w:pPr>
        <w:spacing w:line="610" w:lineRule="exact"/>
        <w:ind w:firstLine="560"/>
        <w:jc w:val="left"/>
        <w:rPr>
          <w:rFonts w:ascii="仿宋" w:hAnsi="仿宋" w:cs="仿宋"/>
          <w:szCs w:val="28"/>
        </w:rPr>
      </w:pPr>
      <w:r>
        <w:rPr>
          <w:rFonts w:hint="eastAsia" w:ascii="仿宋" w:hAnsi="仿宋" w:cs="仿宋"/>
          <w:szCs w:val="28"/>
        </w:rPr>
        <w:t xml:space="preserve">针对 </w:t>
      </w:r>
      <w:r>
        <w:rPr>
          <w:rFonts w:hint="eastAsia" w:ascii="仿宋" w:hAnsi="仿宋" w:cs="仿宋"/>
          <w:szCs w:val="28"/>
          <w:lang w:val="en-US" w:eastAsia="zh-CN"/>
        </w:rPr>
        <w:t>2022</w:t>
      </w:r>
      <w:r>
        <w:rPr>
          <w:rFonts w:hint="eastAsia" w:ascii="仿宋" w:hAnsi="仿宋" w:cs="仿宋"/>
          <w:szCs w:val="28"/>
        </w:rPr>
        <w:t>年</w:t>
      </w:r>
      <w:r>
        <w:rPr>
          <w:rFonts w:hint="eastAsia" w:ascii="仿宋" w:hAnsi="仿宋" w:cs="仿宋"/>
          <w:szCs w:val="28"/>
          <w:lang w:eastAsia="zh-CN"/>
        </w:rPr>
        <w:t>平陆县疫情防控项目资金</w:t>
      </w:r>
      <w:r>
        <w:rPr>
          <w:rFonts w:hint="eastAsia" w:ascii="仿宋" w:hAnsi="仿宋" w:cs="仿宋"/>
          <w:szCs w:val="28"/>
        </w:rPr>
        <w:t>，评价组首先梳理项目评价点和影响因素。本次评价项目影响因素主要包括：项目完成的质量和效果、项目实施的相关资料、资金管理、拨付的过程管理等，查看资金收支备查账，关注补助资金是否专款专用、是否存在划拨不到位、挤占挪用等情况。据以上因素，设置指标体系，综合全面</w:t>
      </w:r>
      <w:r>
        <w:rPr>
          <w:rFonts w:hint="eastAsia" w:ascii="仿宋" w:hAnsi="仿宋" w:cs="仿宋"/>
          <w:szCs w:val="28"/>
          <w:lang w:eastAsia="zh-CN"/>
        </w:rPr>
        <w:t>地</w:t>
      </w:r>
      <w:r>
        <w:rPr>
          <w:rFonts w:hint="eastAsia" w:ascii="仿宋" w:hAnsi="仿宋" w:cs="仿宋"/>
          <w:szCs w:val="28"/>
        </w:rPr>
        <w:t>开展绩效评价工作。</w:t>
      </w:r>
    </w:p>
    <w:p>
      <w:pPr>
        <w:spacing w:line="610" w:lineRule="exact"/>
        <w:ind w:firstLine="560"/>
        <w:jc w:val="left"/>
        <w:rPr>
          <w:rFonts w:ascii="仿宋" w:hAnsi="仿宋" w:cs="仿宋"/>
          <w:szCs w:val="28"/>
        </w:rPr>
      </w:pPr>
      <w:r>
        <w:rPr>
          <w:rFonts w:hint="eastAsia" w:ascii="仿宋" w:hAnsi="仿宋" w:cs="仿宋"/>
          <w:szCs w:val="28"/>
        </w:rPr>
        <w:t>2、综合指数评价法</w:t>
      </w:r>
    </w:p>
    <w:p>
      <w:pPr>
        <w:spacing w:line="610" w:lineRule="exact"/>
        <w:ind w:firstLine="560"/>
        <w:jc w:val="left"/>
        <w:rPr>
          <w:rFonts w:ascii="仿宋" w:hAnsi="仿宋" w:cs="仿宋"/>
          <w:szCs w:val="28"/>
        </w:rPr>
      </w:pPr>
      <w:r>
        <w:rPr>
          <w:rFonts w:hint="eastAsia" w:ascii="仿宋" w:hAnsi="仿宋" w:cs="仿宋"/>
          <w:szCs w:val="28"/>
        </w:rPr>
        <w:t>评价组针对</w:t>
      </w:r>
      <w:r>
        <w:rPr>
          <w:rFonts w:hint="eastAsia" w:ascii="仿宋" w:hAnsi="仿宋" w:cs="仿宋"/>
          <w:szCs w:val="28"/>
          <w:lang w:eastAsia="zh-CN"/>
        </w:rPr>
        <w:t>平陆县2022年疫情防控项目资金</w:t>
      </w:r>
      <w:r>
        <w:rPr>
          <w:rFonts w:hint="eastAsia" w:ascii="仿宋" w:hAnsi="仿宋" w:cs="仿宋"/>
          <w:szCs w:val="28"/>
        </w:rPr>
        <w:t>的情况，将各项绩效指标的实际水平，对照评价标准值，分别计算各项指标评价得分，再按照设定的各项指标权数计算出综合评价得分，分析评价绩效目标实现的情况。</w:t>
      </w:r>
    </w:p>
    <w:p>
      <w:pPr>
        <w:spacing w:line="600" w:lineRule="exact"/>
        <w:ind w:firstLine="562"/>
        <w:outlineLvl w:val="1"/>
        <w:rPr>
          <w:rFonts w:ascii="仿宋" w:hAnsi="仿宋" w:cs="仿宋"/>
          <w:b/>
          <w:bCs/>
          <w:szCs w:val="28"/>
        </w:rPr>
      </w:pPr>
      <w:bookmarkStart w:id="29" w:name="_Toc15545"/>
      <w:bookmarkStart w:id="30" w:name="_Toc17877"/>
      <w:r>
        <w:rPr>
          <w:rFonts w:hint="eastAsia" w:ascii="仿宋" w:hAnsi="仿宋" w:cs="仿宋"/>
          <w:b/>
          <w:bCs/>
          <w:szCs w:val="28"/>
        </w:rPr>
        <w:t>（四）绩效评价依据</w:t>
      </w:r>
      <w:bookmarkEnd w:id="29"/>
      <w:bookmarkEnd w:id="30"/>
    </w:p>
    <w:p>
      <w:pPr>
        <w:spacing w:line="610" w:lineRule="exact"/>
        <w:ind w:firstLine="560"/>
        <w:jc w:val="left"/>
        <w:rPr>
          <w:rFonts w:ascii="仿宋" w:hAnsi="仿宋" w:cs="仿宋"/>
          <w:szCs w:val="28"/>
        </w:rPr>
      </w:pPr>
      <w:bookmarkStart w:id="31" w:name="_Toc27533"/>
      <w:r>
        <w:rPr>
          <w:rFonts w:hint="eastAsia" w:ascii="仿宋" w:hAnsi="仿宋" w:cs="仿宋"/>
          <w:szCs w:val="28"/>
        </w:rPr>
        <w:t>（1）《中华人民共和国预算法》</w:t>
      </w:r>
      <w:r>
        <w:rPr>
          <w:rFonts w:hint="eastAsia" w:ascii="仿宋" w:hAnsi="仿宋" w:cs="仿宋"/>
          <w:szCs w:val="28"/>
          <w:lang w:eastAsia="zh-CN"/>
        </w:rPr>
        <w:t>（</w:t>
      </w:r>
      <w:r>
        <w:rPr>
          <w:rFonts w:hint="eastAsia" w:ascii="仿宋" w:hAnsi="仿宋" w:cs="仿宋"/>
          <w:szCs w:val="28"/>
        </w:rPr>
        <w:t>2018修订）；</w:t>
      </w:r>
    </w:p>
    <w:p>
      <w:pPr>
        <w:spacing w:line="610" w:lineRule="exact"/>
        <w:ind w:firstLine="560"/>
        <w:jc w:val="left"/>
        <w:rPr>
          <w:rFonts w:ascii="仿宋" w:hAnsi="仿宋" w:cs="仿宋"/>
          <w:szCs w:val="28"/>
        </w:rPr>
      </w:pPr>
      <w:r>
        <w:rPr>
          <w:rFonts w:hint="eastAsia" w:ascii="仿宋" w:hAnsi="仿宋" w:cs="仿宋"/>
          <w:szCs w:val="28"/>
        </w:rPr>
        <w:t>（2）中共中央 国务院《关于全面实施预算绩效管理的意见》（中发〔2018〕34号）；</w:t>
      </w:r>
    </w:p>
    <w:p>
      <w:pPr>
        <w:spacing w:line="610" w:lineRule="exact"/>
        <w:ind w:firstLine="560"/>
        <w:jc w:val="left"/>
        <w:rPr>
          <w:rFonts w:ascii="仿宋" w:hAnsi="仿宋" w:cs="仿宋"/>
          <w:szCs w:val="28"/>
        </w:rPr>
      </w:pPr>
      <w:r>
        <w:rPr>
          <w:rFonts w:hint="eastAsia" w:ascii="仿宋" w:hAnsi="仿宋" w:cs="仿宋"/>
          <w:szCs w:val="28"/>
        </w:rPr>
        <w:t>（3）财政部关于贯彻落实《中共中央 国务院关于全面实施预算绩效管理的意见》的通知（财预〔2018〕167号）；</w:t>
      </w:r>
    </w:p>
    <w:p>
      <w:pPr>
        <w:spacing w:line="610" w:lineRule="exact"/>
        <w:ind w:firstLine="560"/>
        <w:jc w:val="left"/>
        <w:rPr>
          <w:rFonts w:ascii="仿宋" w:hAnsi="仿宋" w:cs="仿宋"/>
          <w:szCs w:val="28"/>
        </w:rPr>
      </w:pPr>
      <w:r>
        <w:rPr>
          <w:rFonts w:hint="eastAsia" w:ascii="仿宋" w:hAnsi="仿宋" w:cs="仿宋"/>
          <w:szCs w:val="28"/>
        </w:rPr>
        <w:t>（4）财政部《关于印发项目支出绩效评价管理办法的通知》（财预〔2020〕10号）；</w:t>
      </w:r>
    </w:p>
    <w:p>
      <w:pPr>
        <w:spacing w:line="610" w:lineRule="exact"/>
        <w:ind w:firstLine="560"/>
        <w:jc w:val="left"/>
        <w:rPr>
          <w:rFonts w:ascii="仿宋" w:hAnsi="仿宋" w:cs="仿宋"/>
          <w:szCs w:val="28"/>
        </w:rPr>
      </w:pPr>
      <w:r>
        <w:rPr>
          <w:rFonts w:hint="eastAsia" w:ascii="仿宋" w:hAnsi="仿宋" w:cs="仿宋"/>
          <w:szCs w:val="28"/>
        </w:rPr>
        <w:t>（5）财政部《关于印发第三方机构预算绩效评价业务监督管理暂行办法》（财监〔2021〕4号）；</w:t>
      </w:r>
    </w:p>
    <w:p>
      <w:pPr>
        <w:spacing w:line="610" w:lineRule="exact"/>
        <w:ind w:firstLine="560"/>
        <w:jc w:val="left"/>
        <w:rPr>
          <w:rFonts w:ascii="仿宋" w:hAnsi="仿宋" w:cs="仿宋"/>
          <w:szCs w:val="28"/>
        </w:rPr>
      </w:pPr>
      <w:r>
        <w:rPr>
          <w:rFonts w:hint="eastAsia" w:ascii="仿宋" w:hAnsi="仿宋" w:cs="仿宋"/>
          <w:szCs w:val="28"/>
        </w:rPr>
        <w:t>（6）中共山西省委 山西省人民政府《关于全面实施预算绩效管理的实施意见》（晋发〔2018〕39号）；</w:t>
      </w:r>
    </w:p>
    <w:p>
      <w:pPr>
        <w:spacing w:line="610" w:lineRule="exact"/>
        <w:ind w:firstLine="560"/>
        <w:jc w:val="left"/>
        <w:rPr>
          <w:rFonts w:ascii="仿宋" w:hAnsi="仿宋" w:cs="仿宋"/>
          <w:szCs w:val="28"/>
        </w:rPr>
      </w:pPr>
      <w:r>
        <w:rPr>
          <w:rFonts w:hint="eastAsia" w:ascii="仿宋" w:hAnsi="仿宋" w:cs="仿宋"/>
          <w:szCs w:val="28"/>
        </w:rPr>
        <w:t>（7）运城市财政局《关于全面实施预算绩效管理的实施方案的通知》（运财监〔2019〕4号）；</w:t>
      </w:r>
    </w:p>
    <w:p>
      <w:pPr>
        <w:spacing w:line="610" w:lineRule="exact"/>
        <w:ind w:firstLine="560"/>
        <w:jc w:val="left"/>
        <w:rPr>
          <w:rFonts w:ascii="仿宋" w:hAnsi="仿宋" w:cs="仿宋"/>
          <w:szCs w:val="28"/>
        </w:rPr>
      </w:pPr>
      <w:r>
        <w:rPr>
          <w:rFonts w:hint="eastAsia" w:ascii="仿宋" w:hAnsi="仿宋" w:cs="仿宋"/>
          <w:szCs w:val="28"/>
        </w:rPr>
        <w:t>（8）平陆县财政局《</w:t>
      </w:r>
      <w:r>
        <w:rPr>
          <w:rFonts w:hint="eastAsia" w:ascii="仿宋" w:hAnsi="仿宋" w:cs="仿宋"/>
          <w:szCs w:val="28"/>
          <w:highlight w:val="none"/>
        </w:rPr>
        <w:t>关于开展202</w:t>
      </w:r>
      <w:r>
        <w:rPr>
          <w:rFonts w:hint="eastAsia" w:ascii="仿宋" w:hAnsi="仿宋" w:cs="仿宋"/>
          <w:szCs w:val="28"/>
          <w:highlight w:val="none"/>
          <w:lang w:val="en-US" w:eastAsia="zh-CN"/>
        </w:rPr>
        <w:t>2</w:t>
      </w:r>
      <w:r>
        <w:rPr>
          <w:rFonts w:hint="eastAsia" w:ascii="仿宋" w:hAnsi="仿宋" w:cs="仿宋"/>
          <w:szCs w:val="28"/>
          <w:highlight w:val="none"/>
        </w:rPr>
        <w:t>年度财政</w:t>
      </w:r>
      <w:r>
        <w:rPr>
          <w:rFonts w:hint="eastAsia" w:ascii="仿宋" w:hAnsi="仿宋" w:cs="仿宋"/>
          <w:szCs w:val="28"/>
          <w:highlight w:val="none"/>
          <w:lang w:eastAsia="zh-CN"/>
        </w:rPr>
        <w:t>资金项目重点</w:t>
      </w:r>
      <w:r>
        <w:rPr>
          <w:rFonts w:hint="eastAsia" w:ascii="仿宋" w:hAnsi="仿宋" w:cs="仿宋"/>
          <w:szCs w:val="28"/>
          <w:highlight w:val="none"/>
        </w:rPr>
        <w:t>绩效评价工作的通知</w:t>
      </w:r>
      <w:r>
        <w:rPr>
          <w:rFonts w:hint="eastAsia" w:ascii="仿宋" w:hAnsi="仿宋" w:cs="仿宋"/>
          <w:szCs w:val="28"/>
        </w:rPr>
        <w:t>》（平财绩〔202</w:t>
      </w:r>
      <w:r>
        <w:rPr>
          <w:rFonts w:hint="eastAsia" w:ascii="仿宋" w:hAnsi="仿宋" w:cs="仿宋"/>
          <w:szCs w:val="28"/>
          <w:lang w:val="en-US" w:eastAsia="zh-CN"/>
        </w:rPr>
        <w:t>3</w:t>
      </w:r>
      <w:r>
        <w:rPr>
          <w:rFonts w:hint="eastAsia" w:ascii="仿宋" w:hAnsi="仿宋" w:cs="仿宋"/>
          <w:szCs w:val="28"/>
        </w:rPr>
        <w:t>〕</w:t>
      </w:r>
      <w:r>
        <w:rPr>
          <w:rFonts w:hint="eastAsia" w:ascii="仿宋" w:hAnsi="仿宋" w:cs="仿宋"/>
          <w:szCs w:val="28"/>
          <w:lang w:val="en-US" w:eastAsia="zh-CN"/>
        </w:rPr>
        <w:t>5</w:t>
      </w:r>
      <w:r>
        <w:rPr>
          <w:rFonts w:hint="eastAsia" w:ascii="仿宋" w:hAnsi="仿宋" w:cs="仿宋"/>
          <w:szCs w:val="28"/>
        </w:rPr>
        <w:t>号）；</w:t>
      </w:r>
    </w:p>
    <w:p>
      <w:pPr>
        <w:spacing w:line="610" w:lineRule="exact"/>
        <w:ind w:firstLine="560"/>
        <w:jc w:val="left"/>
        <w:rPr>
          <w:rFonts w:ascii="仿宋" w:hAnsi="仿宋" w:cs="仿宋"/>
          <w:szCs w:val="28"/>
        </w:rPr>
      </w:pPr>
      <w:r>
        <w:rPr>
          <w:rFonts w:hint="eastAsia" w:ascii="仿宋" w:hAnsi="仿宋" w:cs="仿宋"/>
          <w:szCs w:val="28"/>
        </w:rPr>
        <w:t>（9）中国注册会计师协会关于印发《会计师事务所财政支出绩效评价业务指引》的通知（会协〔2016〕10号）；</w:t>
      </w:r>
    </w:p>
    <w:p>
      <w:pPr>
        <w:spacing w:line="610" w:lineRule="exact"/>
        <w:ind w:firstLine="560"/>
        <w:jc w:val="left"/>
        <w:rPr>
          <w:rFonts w:ascii="仿宋" w:hAnsi="仿宋" w:cs="仿宋"/>
          <w:szCs w:val="28"/>
        </w:rPr>
      </w:pPr>
      <w:r>
        <w:rPr>
          <w:rFonts w:hint="eastAsia" w:ascii="仿宋" w:hAnsi="仿宋" w:cs="仿宋"/>
          <w:szCs w:val="28"/>
        </w:rPr>
        <w:t>（10）《中国注册会计师执业准则》；</w:t>
      </w:r>
    </w:p>
    <w:p>
      <w:pPr>
        <w:spacing w:line="610" w:lineRule="exact"/>
        <w:ind w:firstLine="560"/>
        <w:jc w:val="left"/>
        <w:rPr>
          <w:rFonts w:ascii="仿宋" w:hAnsi="仿宋" w:cs="仿宋"/>
          <w:szCs w:val="28"/>
        </w:rPr>
      </w:pPr>
      <w:r>
        <w:rPr>
          <w:rFonts w:hint="eastAsia" w:ascii="仿宋" w:hAnsi="仿宋" w:cs="仿宋"/>
          <w:szCs w:val="28"/>
        </w:rPr>
        <w:t>（11）《事业单位会计制度》及《事业单位会计准则》；</w:t>
      </w:r>
    </w:p>
    <w:p>
      <w:pPr>
        <w:spacing w:line="610" w:lineRule="exact"/>
        <w:ind w:firstLine="560"/>
        <w:jc w:val="left"/>
        <w:rPr>
          <w:rFonts w:ascii="仿宋" w:hAnsi="仿宋" w:cs="仿宋"/>
          <w:szCs w:val="28"/>
        </w:rPr>
      </w:pPr>
      <w:r>
        <w:rPr>
          <w:rFonts w:hint="eastAsia" w:ascii="仿宋" w:hAnsi="仿宋" w:cs="仿宋"/>
          <w:szCs w:val="28"/>
        </w:rPr>
        <w:t>（12）其他相关文件资料。</w:t>
      </w:r>
    </w:p>
    <w:bookmarkEnd w:id="31"/>
    <w:p>
      <w:pPr>
        <w:spacing w:line="600" w:lineRule="exact"/>
        <w:ind w:firstLine="562"/>
        <w:outlineLvl w:val="1"/>
        <w:rPr>
          <w:rFonts w:ascii="仿宋" w:hAnsi="仿宋" w:cs="仿宋"/>
          <w:b/>
          <w:bCs/>
          <w:szCs w:val="28"/>
        </w:rPr>
      </w:pPr>
      <w:bookmarkStart w:id="32" w:name="_Toc24103"/>
      <w:bookmarkStart w:id="33" w:name="_Toc3836"/>
      <w:r>
        <w:rPr>
          <w:rFonts w:hint="eastAsia" w:ascii="仿宋" w:hAnsi="仿宋" w:cs="仿宋"/>
          <w:b/>
          <w:bCs/>
          <w:szCs w:val="28"/>
        </w:rPr>
        <w:t>（五）绩效评价指标体系</w:t>
      </w:r>
      <w:bookmarkEnd w:id="32"/>
      <w:bookmarkEnd w:id="33"/>
    </w:p>
    <w:p>
      <w:pPr>
        <w:spacing w:line="610" w:lineRule="exact"/>
        <w:ind w:firstLine="560"/>
        <w:jc w:val="left"/>
        <w:rPr>
          <w:rFonts w:hint="eastAsia" w:ascii="仿宋" w:hAnsi="仿宋" w:cs="仿宋"/>
          <w:szCs w:val="28"/>
        </w:rPr>
      </w:pPr>
      <w:r>
        <w:rPr>
          <w:rFonts w:hint="eastAsia" w:ascii="仿宋" w:hAnsi="仿宋" w:cs="仿宋"/>
          <w:szCs w:val="28"/>
        </w:rPr>
        <w:t>根据</w:t>
      </w:r>
      <w:r>
        <w:rPr>
          <w:rFonts w:hint="eastAsia" w:ascii="仿宋" w:hAnsi="仿宋" w:cs="仿宋"/>
          <w:szCs w:val="28"/>
          <w:lang w:eastAsia="zh-CN"/>
        </w:rPr>
        <w:t>上述绩效评价依据中相关</w:t>
      </w:r>
      <w:r>
        <w:rPr>
          <w:rFonts w:hint="eastAsia" w:ascii="仿宋" w:hAnsi="仿宋" w:cs="仿宋"/>
          <w:szCs w:val="28"/>
        </w:rPr>
        <w:t>文件精神，遵循相关性、重要性、可比性、系统性原则，形成了平陆县</w:t>
      </w:r>
      <w:r>
        <w:rPr>
          <w:rFonts w:hint="eastAsia" w:ascii="仿宋" w:hAnsi="仿宋" w:cs="仿宋"/>
          <w:szCs w:val="28"/>
          <w:lang w:val="en-US" w:eastAsia="zh-CN"/>
        </w:rPr>
        <w:t>2022年疫情防控项目资金</w:t>
      </w:r>
      <w:r>
        <w:rPr>
          <w:rFonts w:hint="eastAsia" w:ascii="仿宋" w:hAnsi="仿宋" w:cs="仿宋"/>
          <w:szCs w:val="28"/>
        </w:rPr>
        <w:t>绩效评价指标体系。该评价指标在实施方案中确定的绩效评价指标体系的基础上，结合项目的实际情况，在可操作性和可量化方面对评价指标进行了进一步细化和调整，确定了绩效评价一级指标、二级指标和三级指标。</w:t>
      </w:r>
    </w:p>
    <w:p>
      <w:pPr>
        <w:spacing w:line="610" w:lineRule="exact"/>
        <w:ind w:firstLine="560"/>
        <w:jc w:val="left"/>
        <w:rPr>
          <w:rFonts w:hint="eastAsia" w:ascii="仿宋" w:hAnsi="仿宋" w:cs="仿宋"/>
          <w:szCs w:val="28"/>
        </w:rPr>
      </w:pPr>
      <w:r>
        <w:rPr>
          <w:rFonts w:hint="eastAsia" w:ascii="仿宋" w:hAnsi="仿宋" w:cs="仿宋"/>
          <w:szCs w:val="28"/>
        </w:rPr>
        <w:t>“投入”权重15分，下设“项目立项”和“资金落实”两个二级指标，主要评价项目立项规范性、绩效目标合理性、资金到位率，共设3个三级指标具体评价；</w:t>
      </w:r>
    </w:p>
    <w:p>
      <w:pPr>
        <w:spacing w:line="610" w:lineRule="exact"/>
        <w:ind w:firstLine="560"/>
        <w:jc w:val="left"/>
        <w:rPr>
          <w:rFonts w:hint="eastAsia" w:ascii="仿宋" w:hAnsi="仿宋" w:cs="仿宋"/>
          <w:szCs w:val="28"/>
        </w:rPr>
      </w:pPr>
      <w:r>
        <w:rPr>
          <w:rFonts w:hint="eastAsia" w:ascii="仿宋" w:hAnsi="仿宋" w:cs="仿宋"/>
          <w:szCs w:val="28"/>
        </w:rPr>
        <w:t>“过程”权重20分，下设“项目管理”和“资金管理”两个二级指标，主要评价项目管理制度健全性、项目实施、项目质量管理，财务制度健全性，资金使用合规性、财务监控有效性情况，共设6个三级指标具体评价；</w:t>
      </w:r>
    </w:p>
    <w:p>
      <w:pPr>
        <w:spacing w:line="610" w:lineRule="exact"/>
        <w:ind w:firstLine="560"/>
        <w:jc w:val="left"/>
        <w:rPr>
          <w:rFonts w:hint="eastAsia" w:ascii="仿宋" w:hAnsi="仿宋" w:cs="仿宋"/>
          <w:szCs w:val="28"/>
          <w:highlight w:val="none"/>
        </w:rPr>
      </w:pPr>
      <w:r>
        <w:rPr>
          <w:rFonts w:hint="eastAsia" w:ascii="仿宋" w:hAnsi="仿宋" w:cs="仿宋"/>
          <w:szCs w:val="28"/>
          <w:highlight w:val="none"/>
        </w:rPr>
        <w:t>“产出”权重30分，下设“完成数量”、“完成时效”、“质量指标”、“成本控制”四个二级指标，主要评价项目产出实际完成率、完成及时率、完成质量达标率、成本管理情况，共设</w:t>
      </w:r>
      <w:r>
        <w:rPr>
          <w:rFonts w:hint="eastAsia" w:ascii="仿宋" w:hAnsi="仿宋" w:cs="仿宋"/>
          <w:szCs w:val="28"/>
          <w:highlight w:val="none"/>
          <w:lang w:val="en-US" w:eastAsia="zh-CN"/>
        </w:rPr>
        <w:t>4</w:t>
      </w:r>
      <w:r>
        <w:rPr>
          <w:rFonts w:hint="eastAsia" w:ascii="仿宋" w:hAnsi="仿宋" w:cs="仿宋"/>
          <w:szCs w:val="28"/>
          <w:highlight w:val="none"/>
        </w:rPr>
        <w:t>个三级指标具体评价；</w:t>
      </w:r>
    </w:p>
    <w:p>
      <w:pPr>
        <w:spacing w:line="610" w:lineRule="exact"/>
        <w:ind w:firstLine="560"/>
        <w:jc w:val="left"/>
        <w:rPr>
          <w:rFonts w:hint="eastAsia" w:ascii="仿宋" w:hAnsi="仿宋" w:cs="仿宋"/>
          <w:szCs w:val="28"/>
        </w:rPr>
      </w:pPr>
      <w:r>
        <w:rPr>
          <w:rFonts w:hint="eastAsia" w:ascii="仿宋" w:hAnsi="仿宋" w:cs="仿宋"/>
          <w:szCs w:val="28"/>
        </w:rPr>
        <w:t>“效益”权重30分，下设“经济效益”、“社会效益”、“生态效益”、“可持续影响”四个二级指标，主要评价项目实施效益、可持续影响，共设4个三级指标具体评价。</w:t>
      </w:r>
    </w:p>
    <w:p>
      <w:pPr>
        <w:spacing w:line="610" w:lineRule="exact"/>
        <w:ind w:firstLine="560"/>
        <w:jc w:val="left"/>
        <w:rPr>
          <w:rFonts w:hint="eastAsia" w:ascii="仿宋" w:hAnsi="仿宋" w:cs="仿宋"/>
          <w:szCs w:val="28"/>
        </w:rPr>
      </w:pPr>
      <w:r>
        <w:rPr>
          <w:rFonts w:hint="eastAsia" w:ascii="仿宋" w:hAnsi="仿宋" w:cs="仿宋"/>
          <w:szCs w:val="28"/>
        </w:rPr>
        <w:t>“满意度”权重5分，下设“服务对象满意度指标”一个二级指标，主要评价项目实施后社会公众满意度，下设1个社会公众满意度三级指标具体评价。</w:t>
      </w:r>
    </w:p>
    <w:p>
      <w:pPr>
        <w:spacing w:line="610" w:lineRule="exact"/>
        <w:ind w:firstLine="560"/>
        <w:jc w:val="left"/>
        <w:rPr>
          <w:rFonts w:hint="eastAsia" w:ascii="仿宋" w:hAnsi="仿宋" w:cs="仿宋"/>
          <w:szCs w:val="28"/>
        </w:rPr>
      </w:pPr>
      <w:r>
        <w:rPr>
          <w:rFonts w:hint="eastAsia" w:ascii="仿宋" w:hAnsi="仿宋" w:cs="仿宋"/>
          <w:szCs w:val="28"/>
        </w:rPr>
        <w:t>（具体指标分布、权重、指标解释、指标体系详见附件一）</w:t>
      </w:r>
    </w:p>
    <w:p>
      <w:pPr>
        <w:spacing w:line="600" w:lineRule="exact"/>
        <w:ind w:firstLine="562"/>
        <w:outlineLvl w:val="1"/>
        <w:rPr>
          <w:rFonts w:ascii="仿宋" w:hAnsi="仿宋" w:cs="仿宋"/>
          <w:b/>
          <w:bCs/>
          <w:szCs w:val="28"/>
        </w:rPr>
      </w:pPr>
      <w:bookmarkStart w:id="34" w:name="_Toc18957"/>
      <w:bookmarkStart w:id="35" w:name="_Toc18898"/>
      <w:r>
        <w:rPr>
          <w:rFonts w:hint="eastAsia" w:ascii="仿宋" w:hAnsi="仿宋" w:cs="仿宋"/>
          <w:b/>
          <w:bCs/>
          <w:szCs w:val="28"/>
        </w:rPr>
        <w:t>（六）绩效评价工作的组织实施过程</w:t>
      </w:r>
      <w:bookmarkEnd w:id="34"/>
    </w:p>
    <w:p>
      <w:pPr>
        <w:spacing w:line="610" w:lineRule="exact"/>
        <w:ind w:firstLine="560"/>
        <w:jc w:val="left"/>
        <w:rPr>
          <w:rFonts w:ascii="仿宋" w:hAnsi="仿宋" w:cs="仿宋"/>
          <w:szCs w:val="28"/>
        </w:rPr>
      </w:pPr>
      <w:r>
        <w:rPr>
          <w:rFonts w:hint="eastAsia" w:ascii="仿宋" w:hAnsi="仿宋" w:cs="仿宋"/>
          <w:szCs w:val="28"/>
          <w:lang w:val="en-US" w:eastAsia="zh-CN"/>
        </w:rPr>
        <w:t>1</w:t>
      </w:r>
      <w:r>
        <w:rPr>
          <w:rFonts w:hint="eastAsia" w:ascii="仿宋" w:hAnsi="仿宋" w:cs="仿宋"/>
          <w:szCs w:val="28"/>
        </w:rPr>
        <w:t>、工作进度安排</w:t>
      </w:r>
    </w:p>
    <w:p>
      <w:pPr>
        <w:spacing w:line="610" w:lineRule="exact"/>
        <w:ind w:firstLine="560"/>
        <w:jc w:val="left"/>
        <w:rPr>
          <w:rFonts w:ascii="仿宋" w:hAnsi="仿宋" w:cs="仿宋"/>
          <w:szCs w:val="28"/>
        </w:rPr>
      </w:pPr>
      <w:r>
        <w:rPr>
          <w:rFonts w:hint="eastAsia" w:ascii="仿宋" w:hAnsi="仿宋" w:cs="仿宋"/>
          <w:szCs w:val="28"/>
        </w:rPr>
        <w:t>本次绩效评价实施过程分为绩效评价前期准备、现场实施、绩效评价报告撰写和提交三个阶段。绩效评价工作于20</w:t>
      </w:r>
      <w:r>
        <w:rPr>
          <w:rFonts w:hint="eastAsia" w:ascii="仿宋" w:hAnsi="仿宋" w:cs="仿宋"/>
          <w:szCs w:val="28"/>
          <w:lang w:val="en-US" w:eastAsia="zh-CN"/>
        </w:rPr>
        <w:t>23</w:t>
      </w:r>
      <w:r>
        <w:rPr>
          <w:rFonts w:hint="eastAsia" w:ascii="仿宋" w:hAnsi="仿宋" w:cs="仿宋"/>
          <w:szCs w:val="28"/>
        </w:rPr>
        <w:t>年</w:t>
      </w:r>
      <w:r>
        <w:rPr>
          <w:rFonts w:hint="eastAsia" w:ascii="仿宋" w:hAnsi="仿宋" w:cs="仿宋"/>
          <w:szCs w:val="28"/>
          <w:lang w:val="en-US" w:eastAsia="zh-CN"/>
        </w:rPr>
        <w:t>8</w:t>
      </w:r>
      <w:r>
        <w:rPr>
          <w:rFonts w:hint="eastAsia" w:ascii="仿宋" w:hAnsi="仿宋" w:cs="仿宋"/>
          <w:szCs w:val="28"/>
        </w:rPr>
        <w:t>月</w:t>
      </w:r>
      <w:r>
        <w:rPr>
          <w:rFonts w:hint="eastAsia" w:ascii="仿宋" w:hAnsi="仿宋" w:cs="仿宋"/>
          <w:szCs w:val="28"/>
          <w:lang w:val="en-US" w:eastAsia="zh-CN"/>
        </w:rPr>
        <w:t>28</w:t>
      </w:r>
      <w:r>
        <w:rPr>
          <w:rFonts w:hint="eastAsia" w:ascii="仿宋" w:hAnsi="仿宋" w:cs="仿宋"/>
          <w:szCs w:val="28"/>
        </w:rPr>
        <w:t>日—202</w:t>
      </w:r>
      <w:r>
        <w:rPr>
          <w:rFonts w:hint="eastAsia" w:ascii="仿宋" w:hAnsi="仿宋" w:cs="仿宋"/>
          <w:szCs w:val="28"/>
          <w:lang w:val="en-US" w:eastAsia="zh-CN"/>
        </w:rPr>
        <w:t>3</w:t>
      </w:r>
      <w:r>
        <w:rPr>
          <w:rFonts w:hint="eastAsia" w:ascii="仿宋" w:hAnsi="仿宋" w:cs="仿宋"/>
          <w:szCs w:val="28"/>
        </w:rPr>
        <w:t>年</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15</w:t>
      </w:r>
      <w:r>
        <w:rPr>
          <w:rFonts w:hint="eastAsia" w:ascii="仿宋" w:hAnsi="仿宋" w:cs="仿宋"/>
          <w:szCs w:val="28"/>
        </w:rPr>
        <w:t>日内完成，前期通过查阅政府有关文件、进行访谈等方式搜集整理资料，编制绩效评价工作方案。在此基础上，通过实施下列工作流程，完成评价工作：</w:t>
      </w:r>
    </w:p>
    <w:p>
      <w:pPr>
        <w:spacing w:line="610" w:lineRule="exact"/>
        <w:ind w:firstLine="560"/>
        <w:jc w:val="left"/>
        <w:rPr>
          <w:rFonts w:ascii="仿宋" w:hAnsi="仿宋" w:cs="仿宋"/>
          <w:szCs w:val="28"/>
        </w:rPr>
      </w:pPr>
      <w:r>
        <w:rPr>
          <w:rFonts w:hint="eastAsia" w:ascii="仿宋" w:hAnsi="仿宋" w:cs="仿宋"/>
          <w:szCs w:val="28"/>
        </w:rPr>
        <w:t>（1）评价前期准备阶段（202</w:t>
      </w:r>
      <w:r>
        <w:rPr>
          <w:rFonts w:hint="eastAsia" w:ascii="仿宋" w:hAnsi="仿宋" w:cs="仿宋"/>
          <w:szCs w:val="28"/>
          <w:lang w:val="en-US" w:eastAsia="zh-CN"/>
        </w:rPr>
        <w:t>3</w:t>
      </w:r>
      <w:r>
        <w:rPr>
          <w:rFonts w:hint="eastAsia" w:ascii="仿宋" w:hAnsi="仿宋" w:cs="仿宋"/>
          <w:szCs w:val="28"/>
        </w:rPr>
        <w:t>年</w:t>
      </w:r>
      <w:r>
        <w:rPr>
          <w:rFonts w:hint="eastAsia" w:ascii="仿宋" w:hAnsi="仿宋" w:cs="仿宋"/>
          <w:szCs w:val="28"/>
          <w:lang w:val="en-US" w:eastAsia="zh-CN"/>
        </w:rPr>
        <w:t>8</w:t>
      </w:r>
      <w:r>
        <w:rPr>
          <w:rFonts w:hint="eastAsia" w:ascii="仿宋" w:hAnsi="仿宋" w:cs="仿宋"/>
          <w:szCs w:val="28"/>
        </w:rPr>
        <w:t>月</w:t>
      </w:r>
      <w:r>
        <w:rPr>
          <w:rFonts w:hint="eastAsia" w:ascii="仿宋" w:hAnsi="仿宋" w:cs="仿宋"/>
          <w:szCs w:val="28"/>
          <w:lang w:val="en-US" w:eastAsia="zh-CN"/>
        </w:rPr>
        <w:t>28</w:t>
      </w:r>
      <w:r>
        <w:rPr>
          <w:rFonts w:hint="eastAsia" w:ascii="仿宋" w:hAnsi="仿宋" w:cs="仿宋"/>
          <w:szCs w:val="28"/>
        </w:rPr>
        <w:t>日—</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4</w:t>
      </w:r>
      <w:r>
        <w:rPr>
          <w:rFonts w:hint="eastAsia" w:ascii="仿宋" w:hAnsi="仿宋" w:cs="仿宋"/>
          <w:szCs w:val="28"/>
        </w:rPr>
        <w:t>日）</w:t>
      </w:r>
    </w:p>
    <w:p>
      <w:pPr>
        <w:spacing w:line="610" w:lineRule="exact"/>
        <w:ind w:firstLine="560"/>
        <w:jc w:val="left"/>
        <w:rPr>
          <w:rFonts w:ascii="仿宋" w:hAnsi="仿宋" w:cs="仿宋"/>
          <w:szCs w:val="28"/>
        </w:rPr>
      </w:pPr>
      <w:r>
        <w:rPr>
          <w:rFonts w:hint="eastAsia" w:ascii="仿宋" w:hAnsi="仿宋" w:cs="仿宋"/>
          <w:szCs w:val="28"/>
        </w:rPr>
        <w:t>成立评价工作小组，制定项目评价实施方案。评价人员在收集、审核资料的基础上，根据项目具体情况制定绩效评价实施方案，并拟定评价指标体系，细化评分标准，报平陆县财政局绩效股审核。</w:t>
      </w:r>
    </w:p>
    <w:p>
      <w:pPr>
        <w:spacing w:line="610" w:lineRule="exact"/>
        <w:ind w:firstLine="560"/>
        <w:jc w:val="left"/>
        <w:rPr>
          <w:rFonts w:ascii="仿宋" w:hAnsi="仿宋" w:cs="仿宋"/>
          <w:szCs w:val="28"/>
        </w:rPr>
      </w:pPr>
      <w:r>
        <w:rPr>
          <w:rFonts w:hint="eastAsia" w:ascii="仿宋" w:hAnsi="仿宋" w:cs="仿宋"/>
          <w:szCs w:val="28"/>
        </w:rPr>
        <w:t>（2）评价现场实施阶段（202</w:t>
      </w:r>
      <w:r>
        <w:rPr>
          <w:rFonts w:hint="eastAsia" w:ascii="仿宋" w:hAnsi="仿宋" w:cs="仿宋"/>
          <w:szCs w:val="28"/>
          <w:lang w:val="en-US" w:eastAsia="zh-CN"/>
        </w:rPr>
        <w:t>3</w:t>
      </w:r>
      <w:r>
        <w:rPr>
          <w:rFonts w:hint="eastAsia" w:ascii="仿宋" w:hAnsi="仿宋" w:cs="仿宋"/>
          <w:szCs w:val="28"/>
        </w:rPr>
        <w:t>年</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5</w:t>
      </w:r>
      <w:r>
        <w:rPr>
          <w:rFonts w:hint="eastAsia" w:ascii="仿宋" w:hAnsi="仿宋" w:cs="仿宋"/>
          <w:szCs w:val="28"/>
        </w:rPr>
        <w:t>日—</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10</w:t>
      </w:r>
      <w:r>
        <w:rPr>
          <w:rFonts w:hint="eastAsia" w:ascii="仿宋" w:hAnsi="仿宋" w:cs="仿宋"/>
          <w:szCs w:val="28"/>
        </w:rPr>
        <w:t>日）</w:t>
      </w:r>
    </w:p>
    <w:p>
      <w:pPr>
        <w:spacing w:line="610" w:lineRule="exact"/>
        <w:ind w:firstLine="560"/>
        <w:jc w:val="left"/>
        <w:rPr>
          <w:rFonts w:ascii="仿宋" w:hAnsi="仿宋" w:cs="仿宋"/>
          <w:szCs w:val="28"/>
        </w:rPr>
      </w:pPr>
      <w:r>
        <w:rPr>
          <w:rFonts w:hint="eastAsia" w:ascii="仿宋" w:hAnsi="仿宋" w:cs="仿宋"/>
          <w:szCs w:val="28"/>
        </w:rPr>
        <w:t>评价组根据确定的工作方案，下发基础表、资料清单等至</w:t>
      </w:r>
      <w:r>
        <w:rPr>
          <w:rFonts w:hint="eastAsia" w:ascii="仿宋" w:hAnsi="仿宋" w:cs="仿宋"/>
          <w:szCs w:val="28"/>
          <w:lang w:eastAsia="zh-CN"/>
        </w:rPr>
        <w:t>被审计单位平陆县卫生健康和体育局</w:t>
      </w:r>
      <w:r>
        <w:rPr>
          <w:rFonts w:hint="eastAsia" w:ascii="仿宋" w:hAnsi="仿宋" w:cs="仿宋"/>
          <w:szCs w:val="28"/>
        </w:rPr>
        <w:t>填写基础表、准备相关资料。评价组进行实地数据采集，完善。</w:t>
      </w:r>
    </w:p>
    <w:p>
      <w:pPr>
        <w:spacing w:line="610" w:lineRule="exact"/>
        <w:ind w:firstLine="560"/>
        <w:jc w:val="left"/>
        <w:rPr>
          <w:rFonts w:ascii="仿宋" w:hAnsi="仿宋" w:cs="仿宋"/>
          <w:szCs w:val="28"/>
        </w:rPr>
      </w:pPr>
      <w:r>
        <w:rPr>
          <w:rFonts w:hint="eastAsia" w:ascii="仿宋" w:hAnsi="仿宋" w:cs="仿宋"/>
          <w:szCs w:val="28"/>
        </w:rPr>
        <w:t>评价基础资料，并进行查验，深入了解项目情况，组织开展问卷调查、</w:t>
      </w:r>
    </w:p>
    <w:p>
      <w:pPr>
        <w:spacing w:line="610" w:lineRule="exact"/>
        <w:ind w:firstLine="0" w:firstLineChars="0"/>
        <w:jc w:val="left"/>
        <w:rPr>
          <w:rFonts w:ascii="仿宋" w:hAnsi="仿宋" w:cs="仿宋"/>
          <w:szCs w:val="28"/>
        </w:rPr>
      </w:pPr>
      <w:r>
        <w:rPr>
          <w:rFonts w:hint="eastAsia" w:ascii="仿宋" w:hAnsi="仿宋" w:cs="仿宋"/>
          <w:szCs w:val="28"/>
        </w:rPr>
        <w:t>访谈等。对相关文件、资料、财务数据进行甄别、汇总、分析，结合绩效评价指标、权重、标准和方法进行定量定性分析和综合评价，形成评价结论。运用定量与定性结合的方法确定分值。具体工作包括：</w:t>
      </w:r>
    </w:p>
    <w:p>
      <w:pPr>
        <w:spacing w:line="610" w:lineRule="exact"/>
        <w:ind w:firstLine="560"/>
        <w:jc w:val="left"/>
        <w:rPr>
          <w:rFonts w:ascii="仿宋" w:hAnsi="仿宋" w:cs="仿宋"/>
          <w:szCs w:val="28"/>
        </w:rPr>
      </w:pPr>
      <w:r>
        <w:rPr>
          <w:rFonts w:hint="eastAsia" w:ascii="仿宋" w:hAnsi="仿宋" w:cs="仿宋"/>
          <w:szCs w:val="28"/>
        </w:rPr>
        <w:t>现场检查。收集整理，分析项目业务和财务资料，并积极发挥专家的业务优势，对项目决策、项目管理、项目效益中的业务资料和财务信息进行了检查。评价人员对项目资料进行详细分析，重点审查了项目绩效情况，同时对实施单位提交的绩效自评或验收报告进行审查。</w:t>
      </w:r>
    </w:p>
    <w:p>
      <w:pPr>
        <w:spacing w:line="610" w:lineRule="exact"/>
        <w:ind w:firstLine="560"/>
        <w:jc w:val="left"/>
        <w:rPr>
          <w:rFonts w:ascii="仿宋" w:hAnsi="仿宋" w:cs="仿宋"/>
          <w:szCs w:val="28"/>
        </w:rPr>
      </w:pPr>
      <w:r>
        <w:rPr>
          <w:rFonts w:hint="eastAsia" w:ascii="仿宋" w:hAnsi="仿宋" w:cs="仿宋"/>
          <w:szCs w:val="28"/>
        </w:rPr>
        <w:t xml:space="preserve">资料信息汇总。将现场收集的项目资料进行分类归集。按照资料清单，逐一分类，核实资料的完整性。根据资料所反映的项目信息，分析资料的真实性。结合绩效评价的重点，检查资料的充分性。评价人员按照指标体系，对项目资料进行梳理，以保证所收集的资料真实反映项目的实际情况，避免出现遗漏。 </w:t>
      </w:r>
    </w:p>
    <w:p>
      <w:pPr>
        <w:spacing w:line="610" w:lineRule="exact"/>
        <w:ind w:firstLine="560"/>
        <w:jc w:val="left"/>
        <w:rPr>
          <w:rFonts w:ascii="仿宋" w:hAnsi="仿宋" w:cs="仿宋"/>
          <w:szCs w:val="28"/>
        </w:rPr>
      </w:pPr>
      <w:r>
        <w:rPr>
          <w:rFonts w:hint="eastAsia" w:ascii="仿宋" w:hAnsi="仿宋" w:cs="仿宋"/>
          <w:szCs w:val="28"/>
        </w:rPr>
        <w:t>（3）评价报告撰写阶段（202</w:t>
      </w:r>
      <w:r>
        <w:rPr>
          <w:rFonts w:hint="eastAsia" w:ascii="仿宋" w:hAnsi="仿宋" w:cs="仿宋"/>
          <w:szCs w:val="28"/>
          <w:lang w:val="en-US" w:eastAsia="zh-CN"/>
        </w:rPr>
        <w:t>3</w:t>
      </w:r>
      <w:r>
        <w:rPr>
          <w:rFonts w:hint="eastAsia" w:ascii="仿宋" w:hAnsi="仿宋" w:cs="仿宋"/>
          <w:szCs w:val="28"/>
        </w:rPr>
        <w:t>年</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11</w:t>
      </w:r>
      <w:r>
        <w:rPr>
          <w:rFonts w:hint="eastAsia" w:ascii="仿宋" w:hAnsi="仿宋" w:cs="仿宋"/>
          <w:szCs w:val="28"/>
        </w:rPr>
        <w:t>日—</w:t>
      </w:r>
      <w:r>
        <w:rPr>
          <w:rFonts w:hint="eastAsia" w:ascii="仿宋" w:hAnsi="仿宋" w:cs="仿宋"/>
          <w:szCs w:val="28"/>
          <w:lang w:val="en-US" w:eastAsia="zh-CN"/>
        </w:rPr>
        <w:t>9</w:t>
      </w:r>
      <w:r>
        <w:rPr>
          <w:rFonts w:hint="eastAsia" w:ascii="仿宋" w:hAnsi="仿宋" w:cs="仿宋"/>
          <w:szCs w:val="28"/>
        </w:rPr>
        <w:t>月</w:t>
      </w:r>
      <w:r>
        <w:rPr>
          <w:rFonts w:hint="eastAsia" w:ascii="仿宋" w:hAnsi="仿宋" w:cs="仿宋"/>
          <w:szCs w:val="28"/>
          <w:lang w:val="en-US" w:eastAsia="zh-CN"/>
        </w:rPr>
        <w:t>15</w:t>
      </w:r>
      <w:r>
        <w:rPr>
          <w:rFonts w:hint="eastAsia" w:ascii="仿宋" w:hAnsi="仿宋" w:cs="仿宋"/>
          <w:szCs w:val="28"/>
        </w:rPr>
        <w:t>日）</w:t>
      </w:r>
    </w:p>
    <w:p>
      <w:pPr>
        <w:spacing w:line="610" w:lineRule="exact"/>
        <w:ind w:firstLine="560"/>
        <w:jc w:val="left"/>
        <w:rPr>
          <w:rFonts w:ascii="仿宋" w:hAnsi="仿宋" w:cs="仿宋"/>
          <w:szCs w:val="28"/>
        </w:rPr>
      </w:pPr>
      <w:r>
        <w:rPr>
          <w:rFonts w:hint="eastAsia" w:ascii="仿宋" w:hAnsi="仿宋" w:cs="仿宋"/>
          <w:szCs w:val="28"/>
        </w:rPr>
        <w:t>分析评价数据，依据制定的评价标准和指标分值，对履职效能、管理效率、社会效应、可持续性进行分析打分，撰写绩效评价报告，针对存在问题提出改进建议。组织专家对报告进行评审，评审通过后，依据相关意见对报告进行修改完善，形成绩效评价报告终稿提交平陆县财政局。</w:t>
      </w:r>
      <w:bookmarkStart w:id="36" w:name="_Toc28581"/>
      <w:bookmarkStart w:id="37" w:name="_Toc18896"/>
      <w:bookmarkStart w:id="38" w:name="_Toc1868"/>
      <w:bookmarkStart w:id="39" w:name="_Toc21441"/>
    </w:p>
    <w:bookmarkEnd w:id="35"/>
    <w:bookmarkEnd w:id="36"/>
    <w:bookmarkEnd w:id="37"/>
    <w:bookmarkEnd w:id="38"/>
    <w:bookmarkEnd w:id="39"/>
    <w:p>
      <w:pPr>
        <w:spacing w:line="600" w:lineRule="exact"/>
        <w:ind w:firstLine="562"/>
        <w:outlineLvl w:val="0"/>
        <w:rPr>
          <w:rFonts w:ascii="仿宋" w:hAnsi="仿宋" w:cs="仿宋"/>
          <w:b/>
          <w:bCs/>
          <w:szCs w:val="28"/>
        </w:rPr>
      </w:pPr>
      <w:bookmarkStart w:id="40" w:name="_Toc4033"/>
      <w:r>
        <w:rPr>
          <w:rFonts w:hint="eastAsia" w:ascii="仿宋" w:hAnsi="仿宋" w:cs="仿宋"/>
          <w:b/>
          <w:bCs/>
          <w:szCs w:val="28"/>
        </w:rPr>
        <w:t>三、评价结论及绩效评价指标分析</w:t>
      </w:r>
      <w:bookmarkEnd w:id="40"/>
    </w:p>
    <w:p>
      <w:pPr>
        <w:spacing w:line="610" w:lineRule="exact"/>
        <w:ind w:firstLine="560"/>
        <w:jc w:val="left"/>
        <w:rPr>
          <w:rFonts w:ascii="仿宋" w:hAnsi="仿宋" w:cs="仿宋"/>
          <w:szCs w:val="28"/>
        </w:rPr>
      </w:pPr>
      <w:r>
        <w:rPr>
          <w:rFonts w:hint="eastAsia" w:ascii="仿宋" w:hAnsi="仿宋" w:cs="仿宋"/>
          <w:szCs w:val="28"/>
        </w:rPr>
        <w:t>绩效评价结果采用综合评分定级的方法，总分值100分。绩效评级分“优</w:t>
      </w:r>
      <w:r>
        <w:rPr>
          <w:rFonts w:hint="eastAsia" w:ascii="仿宋" w:hAnsi="仿宋" w:cs="仿宋"/>
          <w:szCs w:val="28"/>
          <w:lang w:eastAsia="zh-CN"/>
        </w:rPr>
        <w:t>”“</w:t>
      </w:r>
      <w:r>
        <w:rPr>
          <w:rFonts w:hint="eastAsia" w:ascii="仿宋" w:hAnsi="仿宋" w:cs="仿宋"/>
          <w:szCs w:val="28"/>
        </w:rPr>
        <w:t>良</w:t>
      </w:r>
      <w:r>
        <w:rPr>
          <w:rFonts w:hint="eastAsia" w:ascii="仿宋" w:hAnsi="仿宋" w:cs="仿宋"/>
          <w:szCs w:val="28"/>
          <w:lang w:eastAsia="zh-CN"/>
        </w:rPr>
        <w:t>”“</w:t>
      </w:r>
      <w:r>
        <w:rPr>
          <w:rFonts w:hint="eastAsia" w:ascii="仿宋" w:hAnsi="仿宋" w:cs="仿宋"/>
          <w:szCs w:val="28"/>
        </w:rPr>
        <w:t>中</w:t>
      </w:r>
      <w:r>
        <w:rPr>
          <w:rFonts w:hint="eastAsia" w:ascii="仿宋" w:hAnsi="仿宋" w:cs="仿宋"/>
          <w:szCs w:val="28"/>
          <w:lang w:eastAsia="zh-CN"/>
        </w:rPr>
        <w:t>”“</w:t>
      </w:r>
      <w:r>
        <w:rPr>
          <w:rFonts w:hint="eastAsia" w:ascii="仿宋" w:hAnsi="仿宋" w:cs="仿宋"/>
          <w:szCs w:val="28"/>
        </w:rPr>
        <w:t>差”。最终绩效评价结果按照综合评分分级：综合评分90</w:t>
      </w:r>
      <w:r>
        <w:rPr>
          <w:rFonts w:hint="eastAsia" w:ascii="仿宋" w:hAnsi="仿宋" w:cs="仿宋"/>
          <w:szCs w:val="28"/>
          <w:lang w:eastAsia="zh-CN"/>
        </w:rPr>
        <w:t>—</w:t>
      </w:r>
      <w:r>
        <w:rPr>
          <w:rFonts w:hint="eastAsia" w:ascii="仿宋" w:hAnsi="仿宋" w:cs="仿宋"/>
          <w:szCs w:val="28"/>
        </w:rPr>
        <w:t>100分的为“优”，80</w:t>
      </w:r>
      <w:r>
        <w:rPr>
          <w:rFonts w:hint="eastAsia" w:ascii="仿宋" w:hAnsi="仿宋" w:cs="仿宋"/>
          <w:szCs w:val="28"/>
          <w:lang w:eastAsia="zh-CN"/>
        </w:rPr>
        <w:t>—</w:t>
      </w:r>
      <w:r>
        <w:rPr>
          <w:rFonts w:hint="eastAsia" w:ascii="仿宋" w:hAnsi="仿宋" w:cs="仿宋"/>
          <w:szCs w:val="28"/>
        </w:rPr>
        <w:t>89分的为“良”，60</w:t>
      </w:r>
      <w:r>
        <w:rPr>
          <w:rFonts w:hint="eastAsia" w:ascii="仿宋" w:hAnsi="仿宋" w:cs="仿宋"/>
          <w:szCs w:val="28"/>
          <w:lang w:eastAsia="zh-CN"/>
        </w:rPr>
        <w:t>—</w:t>
      </w:r>
      <w:r>
        <w:rPr>
          <w:rFonts w:hint="eastAsia" w:ascii="仿宋" w:hAnsi="仿宋" w:cs="仿宋"/>
          <w:szCs w:val="28"/>
        </w:rPr>
        <w:t>79分的为“中”，59分以下的为“差”。</w:t>
      </w:r>
    </w:p>
    <w:p>
      <w:pPr>
        <w:spacing w:line="610" w:lineRule="exact"/>
        <w:ind w:firstLine="560"/>
        <w:jc w:val="left"/>
        <w:rPr>
          <w:rFonts w:ascii="仿宋" w:hAnsi="仿宋" w:cs="仿宋"/>
          <w:szCs w:val="28"/>
        </w:rPr>
      </w:pPr>
      <w:r>
        <w:rPr>
          <w:rFonts w:hint="eastAsia" w:ascii="仿宋" w:hAnsi="仿宋" w:cs="仿宋"/>
          <w:szCs w:val="28"/>
          <w:lang w:eastAsia="zh-CN"/>
        </w:rPr>
        <w:t>平陆县2022年疫情防控项目资金</w:t>
      </w:r>
      <w:r>
        <w:rPr>
          <w:rFonts w:hint="eastAsia" w:ascii="仿宋" w:hAnsi="仿宋" w:cs="仿宋"/>
          <w:szCs w:val="28"/>
        </w:rPr>
        <w:t>绩效评价主要从</w:t>
      </w:r>
      <w:r>
        <w:rPr>
          <w:rFonts w:hint="eastAsia" w:ascii="仿宋" w:hAnsi="仿宋" w:cs="仿宋"/>
          <w:szCs w:val="28"/>
          <w:lang w:val="en-US" w:eastAsia="zh-CN"/>
        </w:rPr>
        <w:t>投入、过程、产出、履职效益、</w:t>
      </w:r>
      <w:r>
        <w:rPr>
          <w:rFonts w:hint="eastAsia" w:ascii="仿宋" w:hAnsi="仿宋" w:cs="仿宋"/>
          <w:szCs w:val="28"/>
        </w:rPr>
        <w:t>社会公众或服务对象满意度</w:t>
      </w:r>
      <w:r>
        <w:rPr>
          <w:rFonts w:hint="eastAsia" w:ascii="仿宋" w:hAnsi="仿宋" w:cs="仿宋"/>
          <w:szCs w:val="28"/>
          <w:lang w:val="en-US" w:eastAsia="zh-CN"/>
        </w:rPr>
        <w:t>五</w:t>
      </w:r>
      <w:r>
        <w:rPr>
          <w:rFonts w:hint="eastAsia" w:ascii="仿宋" w:hAnsi="仿宋" w:cs="仿宋"/>
          <w:szCs w:val="28"/>
        </w:rPr>
        <w:t>方面进行评价，评价得分采用百分制，最后得出项目绩效结论。</w:t>
      </w:r>
    </w:p>
    <w:p>
      <w:pPr>
        <w:spacing w:line="600" w:lineRule="exact"/>
        <w:ind w:firstLine="562"/>
        <w:outlineLvl w:val="1"/>
        <w:rPr>
          <w:rFonts w:ascii="仿宋" w:hAnsi="仿宋" w:cs="仿宋"/>
          <w:b/>
          <w:bCs/>
          <w:szCs w:val="28"/>
          <w:highlight w:val="none"/>
        </w:rPr>
      </w:pPr>
      <w:bookmarkStart w:id="41" w:name="_Toc29855"/>
      <w:r>
        <w:rPr>
          <w:rFonts w:hint="eastAsia" w:ascii="仿宋" w:hAnsi="仿宋" w:cs="仿宋"/>
          <w:b/>
          <w:bCs/>
          <w:szCs w:val="28"/>
          <w:highlight w:val="none"/>
        </w:rPr>
        <w:t>（一）评价结论</w:t>
      </w:r>
      <w:bookmarkEnd w:id="41"/>
    </w:p>
    <w:p>
      <w:pPr>
        <w:spacing w:line="610" w:lineRule="exact"/>
        <w:ind w:firstLine="560"/>
        <w:jc w:val="left"/>
        <w:rPr>
          <w:rFonts w:ascii="仿宋" w:hAnsi="仿宋" w:cs="仿宋"/>
          <w:szCs w:val="28"/>
          <w:highlight w:val="none"/>
        </w:rPr>
      </w:pPr>
      <w:r>
        <w:rPr>
          <w:rFonts w:hint="eastAsia" w:ascii="仿宋" w:hAnsi="仿宋" w:cs="仿宋"/>
          <w:szCs w:val="28"/>
          <w:highlight w:val="none"/>
        </w:rPr>
        <w:t>经评价，</w:t>
      </w:r>
      <w:r>
        <w:rPr>
          <w:rFonts w:hint="eastAsia" w:ascii="仿宋" w:hAnsi="仿宋" w:cs="仿宋"/>
          <w:szCs w:val="28"/>
          <w:highlight w:val="none"/>
          <w:lang w:eastAsia="zh-CN"/>
        </w:rPr>
        <w:t>平陆县2022年疫情防控项目资金</w:t>
      </w:r>
      <w:r>
        <w:rPr>
          <w:rFonts w:hint="eastAsia" w:ascii="仿宋" w:hAnsi="仿宋" w:cs="仿宋"/>
          <w:szCs w:val="28"/>
          <w:highlight w:val="none"/>
        </w:rPr>
        <w:t>绩效评价项目综合评价得分</w:t>
      </w:r>
      <w:r>
        <w:rPr>
          <w:rFonts w:hint="eastAsia" w:ascii="仿宋" w:hAnsi="仿宋" w:cs="仿宋"/>
          <w:szCs w:val="28"/>
          <w:highlight w:val="none"/>
          <w:lang w:val="en-US" w:eastAsia="zh-CN"/>
        </w:rPr>
        <w:t>90</w:t>
      </w:r>
      <w:r>
        <w:rPr>
          <w:rFonts w:hint="eastAsia" w:ascii="仿宋" w:hAnsi="仿宋" w:cs="仿宋"/>
          <w:szCs w:val="28"/>
          <w:highlight w:val="none"/>
          <w:lang w:eastAsia="zh-CN"/>
        </w:rPr>
        <w:t>分</w:t>
      </w:r>
      <w:r>
        <w:rPr>
          <w:rFonts w:hint="eastAsia" w:ascii="仿宋" w:hAnsi="仿宋" w:cs="仿宋"/>
          <w:szCs w:val="28"/>
          <w:highlight w:val="none"/>
        </w:rPr>
        <w:t>，其中：</w:t>
      </w:r>
      <w:r>
        <w:rPr>
          <w:rFonts w:hint="eastAsia" w:ascii="仿宋" w:hAnsi="仿宋" w:cs="仿宋"/>
          <w:szCs w:val="28"/>
          <w:highlight w:val="none"/>
          <w:lang w:val="en-US" w:eastAsia="zh-CN"/>
        </w:rPr>
        <w:t>投入</w:t>
      </w:r>
      <w:r>
        <w:rPr>
          <w:rFonts w:hint="eastAsia" w:ascii="仿宋" w:hAnsi="仿宋" w:cs="仿宋"/>
          <w:szCs w:val="28"/>
          <w:highlight w:val="none"/>
        </w:rPr>
        <w:t>得分</w:t>
      </w:r>
      <w:r>
        <w:rPr>
          <w:rFonts w:hint="eastAsia" w:ascii="仿宋" w:hAnsi="仿宋" w:cs="仿宋"/>
          <w:szCs w:val="28"/>
          <w:highlight w:val="none"/>
          <w:lang w:val="en-US" w:eastAsia="zh-CN"/>
        </w:rPr>
        <w:t>11</w:t>
      </w:r>
      <w:r>
        <w:rPr>
          <w:rFonts w:hint="eastAsia" w:ascii="仿宋" w:hAnsi="仿宋" w:cs="仿宋"/>
          <w:szCs w:val="28"/>
          <w:highlight w:val="none"/>
        </w:rPr>
        <w:t>分，</w:t>
      </w:r>
      <w:r>
        <w:rPr>
          <w:rFonts w:hint="eastAsia" w:ascii="仿宋" w:hAnsi="仿宋" w:cs="仿宋"/>
          <w:szCs w:val="28"/>
          <w:highlight w:val="none"/>
          <w:lang w:val="en-US" w:eastAsia="zh-CN"/>
        </w:rPr>
        <w:t>过程</w:t>
      </w:r>
      <w:r>
        <w:rPr>
          <w:rFonts w:hint="eastAsia" w:ascii="仿宋" w:hAnsi="仿宋" w:cs="仿宋"/>
          <w:szCs w:val="28"/>
          <w:highlight w:val="none"/>
        </w:rPr>
        <w:t>得分</w:t>
      </w:r>
      <w:r>
        <w:rPr>
          <w:rFonts w:hint="eastAsia" w:ascii="仿宋" w:hAnsi="仿宋" w:cs="仿宋"/>
          <w:szCs w:val="28"/>
          <w:highlight w:val="none"/>
          <w:lang w:val="en-US" w:eastAsia="zh-CN"/>
        </w:rPr>
        <w:t>16</w:t>
      </w:r>
      <w:r>
        <w:rPr>
          <w:rFonts w:hint="eastAsia" w:ascii="仿宋" w:hAnsi="仿宋" w:cs="仿宋"/>
          <w:szCs w:val="28"/>
          <w:highlight w:val="none"/>
        </w:rPr>
        <w:t>分，</w:t>
      </w:r>
      <w:r>
        <w:rPr>
          <w:rFonts w:hint="eastAsia" w:ascii="仿宋" w:hAnsi="仿宋" w:cs="仿宋"/>
          <w:szCs w:val="28"/>
          <w:highlight w:val="none"/>
          <w:lang w:val="en-US" w:eastAsia="zh-CN"/>
        </w:rPr>
        <w:t>产出</w:t>
      </w:r>
      <w:r>
        <w:rPr>
          <w:rFonts w:hint="eastAsia" w:ascii="仿宋" w:hAnsi="仿宋" w:cs="仿宋"/>
          <w:szCs w:val="28"/>
          <w:highlight w:val="none"/>
        </w:rPr>
        <w:t>得分</w:t>
      </w:r>
      <w:r>
        <w:rPr>
          <w:rFonts w:hint="eastAsia" w:ascii="仿宋" w:hAnsi="仿宋" w:cs="仿宋"/>
          <w:szCs w:val="28"/>
          <w:highlight w:val="none"/>
          <w:lang w:val="en-US" w:eastAsia="zh-CN"/>
        </w:rPr>
        <w:t>30</w:t>
      </w:r>
      <w:r>
        <w:rPr>
          <w:rFonts w:hint="eastAsia" w:ascii="仿宋" w:hAnsi="仿宋" w:cs="仿宋"/>
          <w:szCs w:val="28"/>
          <w:highlight w:val="none"/>
        </w:rPr>
        <w:t>分，履职效益得分</w:t>
      </w:r>
      <w:r>
        <w:rPr>
          <w:rFonts w:hint="eastAsia" w:ascii="仿宋" w:hAnsi="仿宋" w:cs="仿宋"/>
          <w:szCs w:val="28"/>
          <w:highlight w:val="none"/>
          <w:lang w:val="en-US" w:eastAsia="zh-CN"/>
        </w:rPr>
        <w:t>28</w:t>
      </w:r>
      <w:r>
        <w:rPr>
          <w:rFonts w:hint="eastAsia" w:ascii="仿宋" w:hAnsi="仿宋" w:cs="仿宋"/>
          <w:szCs w:val="28"/>
          <w:highlight w:val="none"/>
        </w:rPr>
        <w:t>分</w:t>
      </w:r>
      <w:r>
        <w:rPr>
          <w:rFonts w:hint="eastAsia" w:ascii="仿宋" w:hAnsi="仿宋" w:cs="仿宋"/>
          <w:szCs w:val="28"/>
          <w:highlight w:val="none"/>
          <w:lang w:eastAsia="zh-CN"/>
        </w:rPr>
        <w:t>，社会公众或服务对象满意度</w:t>
      </w:r>
      <w:r>
        <w:rPr>
          <w:rFonts w:hint="eastAsia" w:ascii="仿宋" w:hAnsi="仿宋" w:cs="仿宋"/>
          <w:szCs w:val="28"/>
          <w:highlight w:val="none"/>
          <w:lang w:val="en-US" w:eastAsia="zh-CN"/>
        </w:rPr>
        <w:t>得分5分</w:t>
      </w:r>
      <w:r>
        <w:rPr>
          <w:rFonts w:hint="eastAsia" w:ascii="仿宋" w:hAnsi="仿宋" w:cs="仿宋"/>
          <w:szCs w:val="28"/>
          <w:highlight w:val="none"/>
        </w:rPr>
        <w:t>。绩效评价等级为“</w:t>
      </w:r>
      <w:r>
        <w:rPr>
          <w:rFonts w:hint="eastAsia" w:ascii="仿宋" w:hAnsi="仿宋" w:cs="仿宋"/>
          <w:szCs w:val="28"/>
          <w:highlight w:val="none"/>
          <w:lang w:eastAsia="zh-CN"/>
        </w:rPr>
        <w:t>优</w:t>
      </w:r>
      <w:r>
        <w:rPr>
          <w:rFonts w:hint="eastAsia" w:ascii="仿宋" w:hAnsi="仿宋" w:cs="仿宋"/>
          <w:szCs w:val="28"/>
          <w:highlight w:val="none"/>
        </w:rPr>
        <w:t>”。（详见附件二）</w:t>
      </w:r>
    </w:p>
    <w:p>
      <w:pPr>
        <w:spacing w:line="600" w:lineRule="exact"/>
        <w:ind w:firstLine="562"/>
        <w:outlineLvl w:val="1"/>
        <w:rPr>
          <w:rFonts w:ascii="仿宋" w:hAnsi="仿宋" w:cs="仿宋"/>
          <w:b/>
          <w:bCs/>
          <w:szCs w:val="28"/>
        </w:rPr>
      </w:pPr>
      <w:bookmarkStart w:id="42" w:name="_Toc5123"/>
      <w:r>
        <w:rPr>
          <w:rFonts w:hint="eastAsia" w:ascii="仿宋" w:hAnsi="仿宋" w:cs="仿宋"/>
          <w:b/>
          <w:bCs/>
          <w:szCs w:val="28"/>
        </w:rPr>
        <w:t>（二）评价指标分析</w:t>
      </w:r>
      <w:bookmarkEnd w:id="42"/>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具体指标分析如下：</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w:t>
      </w:r>
      <w:r>
        <w:rPr>
          <w:rFonts w:hint="eastAsia" w:ascii="仿宋" w:hAnsi="仿宋" w:cs="仿宋"/>
          <w:b w:val="0"/>
          <w:bCs w:val="0"/>
          <w:szCs w:val="28"/>
          <w:lang w:val="en-US" w:eastAsia="zh-CN"/>
        </w:rPr>
        <w:t>1</w:t>
      </w:r>
      <w:r>
        <w:rPr>
          <w:rFonts w:hint="eastAsia" w:ascii="仿宋" w:hAnsi="仿宋" w:cs="仿宋"/>
          <w:b w:val="0"/>
          <w:bCs w:val="0"/>
          <w:szCs w:val="28"/>
        </w:rPr>
        <w:t>）投入类指标</w:t>
      </w:r>
    </w:p>
    <w:p>
      <w:pPr>
        <w:spacing w:line="610" w:lineRule="exact"/>
        <w:ind w:firstLine="560"/>
        <w:jc w:val="left"/>
        <w:rPr>
          <w:rFonts w:hint="eastAsia" w:ascii="仿宋" w:hAnsi="仿宋" w:cs="仿宋"/>
          <w:b w:val="0"/>
          <w:bCs w:val="0"/>
          <w:szCs w:val="28"/>
          <w:highlight w:val="none"/>
        </w:rPr>
      </w:pPr>
      <w:r>
        <w:rPr>
          <w:rFonts w:hint="eastAsia" w:ascii="仿宋" w:hAnsi="仿宋" w:cs="仿宋"/>
          <w:b w:val="0"/>
          <w:bCs w:val="0"/>
          <w:szCs w:val="28"/>
        </w:rPr>
        <w:t>投入类指标主要从项目立项、资金落实两方面对项目投入情况进行评价。项目立项下分两个三级指标，资金落实下分一个三级指标。投入类指标权重分值为15分，实际评价得分</w:t>
      </w:r>
      <w:r>
        <w:rPr>
          <w:rFonts w:hint="eastAsia" w:ascii="仿宋" w:hAnsi="仿宋" w:cs="仿宋"/>
          <w:b w:val="0"/>
          <w:bCs w:val="0"/>
          <w:szCs w:val="28"/>
          <w:highlight w:val="none"/>
        </w:rPr>
        <w:t>11分，得分率为73.33%。</w:t>
      </w:r>
    </w:p>
    <w:p>
      <w:pPr>
        <w:spacing w:line="610" w:lineRule="exact"/>
        <w:ind w:firstLine="560"/>
        <w:jc w:val="left"/>
        <w:rPr>
          <w:rFonts w:hint="eastAsia" w:ascii="仿宋" w:hAnsi="仿宋" w:eastAsia="仿宋" w:cs="仿宋"/>
          <w:b w:val="0"/>
          <w:bCs w:val="0"/>
          <w:szCs w:val="28"/>
          <w:lang w:eastAsia="zh-CN"/>
        </w:rPr>
      </w:pPr>
      <w:r>
        <w:rPr>
          <w:rFonts w:hint="eastAsia" w:ascii="仿宋" w:hAnsi="仿宋" w:cs="仿宋"/>
          <w:b w:val="0"/>
          <w:bCs w:val="0"/>
          <w:szCs w:val="28"/>
        </w:rPr>
        <w:t>1、</w:t>
      </w:r>
      <w:r>
        <w:rPr>
          <w:rFonts w:hint="eastAsia" w:ascii="仿宋" w:hAnsi="仿宋" w:cs="仿宋"/>
          <w:b w:val="0"/>
          <w:bCs w:val="0"/>
          <w:szCs w:val="28"/>
          <w:lang w:eastAsia="zh-CN"/>
        </w:rPr>
        <w:t>项目立项规范性</w:t>
      </w:r>
    </w:p>
    <w:p>
      <w:pPr>
        <w:spacing w:line="610" w:lineRule="exact"/>
        <w:ind w:firstLine="560"/>
        <w:jc w:val="left"/>
        <w:rPr>
          <w:rFonts w:hint="default" w:ascii="仿宋" w:hAnsi="仿宋" w:eastAsia="仿宋" w:cs="仿宋"/>
          <w:b w:val="0"/>
          <w:bCs w:val="0"/>
          <w:szCs w:val="28"/>
          <w:lang w:val="en-US" w:eastAsia="zh-CN"/>
        </w:rPr>
      </w:pPr>
      <w:r>
        <w:rPr>
          <w:rFonts w:hint="eastAsia" w:ascii="仿宋" w:hAnsi="仿宋" w:cs="仿宋"/>
          <w:b w:val="0"/>
          <w:bCs w:val="0"/>
          <w:szCs w:val="28"/>
        </w:rPr>
        <w:t>评价人员现场</w:t>
      </w:r>
      <w:r>
        <w:rPr>
          <w:rFonts w:hint="eastAsia" w:ascii="仿宋" w:hAnsi="仿宋" w:cs="仿宋"/>
          <w:b w:val="0"/>
          <w:bCs w:val="0"/>
          <w:szCs w:val="28"/>
          <w:lang w:eastAsia="zh-CN"/>
        </w:rPr>
        <w:t>勘察</w:t>
      </w:r>
      <w:r>
        <w:rPr>
          <w:rFonts w:hint="eastAsia" w:ascii="仿宋" w:hAnsi="仿宋" w:cs="仿宋"/>
          <w:b w:val="0"/>
          <w:bCs w:val="0"/>
          <w:szCs w:val="28"/>
        </w:rPr>
        <w:t>项目主管单位，经查阅项目立项的相关资料，对资料进行收集、整理和分析，经查阅，</w:t>
      </w:r>
      <w:r>
        <w:rPr>
          <w:rFonts w:hint="eastAsia" w:ascii="仿宋" w:hAnsi="仿宋" w:cs="仿宋"/>
          <w:b w:val="0"/>
          <w:bCs w:val="0"/>
          <w:szCs w:val="28"/>
          <w:lang w:eastAsia="zh-CN"/>
        </w:rPr>
        <w:t>平陆县财政局下发项目资金</w:t>
      </w:r>
      <w:r>
        <w:rPr>
          <w:rFonts w:hint="eastAsia" w:ascii="仿宋" w:hAnsi="仿宋" w:cs="仿宋"/>
          <w:b w:val="0"/>
          <w:bCs w:val="0"/>
          <w:szCs w:val="28"/>
        </w:rPr>
        <w:t>相关文件证明项目立项的规范性</w:t>
      </w:r>
      <w:r>
        <w:rPr>
          <w:rFonts w:hint="eastAsia" w:ascii="仿宋" w:hAnsi="仿宋" w:cs="仿宋"/>
          <w:b w:val="0"/>
          <w:bCs w:val="0"/>
          <w:szCs w:val="28"/>
          <w:lang w:val="en-US" w:eastAsia="zh-CN"/>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据评分标准，该指标</w:t>
      </w:r>
      <w:r>
        <w:rPr>
          <w:rFonts w:hint="eastAsia" w:ascii="仿宋" w:hAnsi="仿宋" w:cs="仿宋"/>
          <w:b w:val="0"/>
          <w:bCs w:val="0"/>
          <w:szCs w:val="28"/>
          <w:lang w:eastAsia="zh-CN"/>
        </w:rPr>
        <w:t>的</w:t>
      </w:r>
      <w:r>
        <w:rPr>
          <w:rFonts w:hint="eastAsia" w:ascii="仿宋" w:hAnsi="仿宋" w:cs="仿宋"/>
          <w:b w:val="0"/>
          <w:bCs w:val="0"/>
          <w:szCs w:val="28"/>
          <w:lang w:val="en-US" w:eastAsia="zh-CN"/>
        </w:rPr>
        <w:t>100</w:t>
      </w:r>
      <w:r>
        <w:rPr>
          <w:rFonts w:hint="eastAsia" w:ascii="仿宋" w:hAnsi="仿宋" w:cs="仿宋"/>
          <w:b w:val="0"/>
          <w:bCs w:val="0"/>
          <w:szCs w:val="28"/>
        </w:rPr>
        <w:t>%权重分。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4</w:t>
      </w:r>
      <w:r>
        <w:rPr>
          <w:rFonts w:hint="eastAsia" w:ascii="仿宋" w:hAnsi="仿宋" w:cs="仿宋"/>
          <w:b w:val="0"/>
          <w:bCs w:val="0"/>
          <w:szCs w:val="28"/>
        </w:rPr>
        <w:t>分，得分</w:t>
      </w:r>
      <w:r>
        <w:rPr>
          <w:rFonts w:hint="eastAsia" w:ascii="仿宋" w:hAnsi="仿宋" w:cs="仿宋"/>
          <w:b w:val="0"/>
          <w:bCs w:val="0"/>
          <w:szCs w:val="28"/>
          <w:lang w:val="en-US" w:eastAsia="zh-CN"/>
        </w:rPr>
        <w:t>4</w:t>
      </w:r>
      <w:r>
        <w:rPr>
          <w:rFonts w:hint="eastAsia" w:ascii="仿宋" w:hAnsi="仿宋" w:cs="仿宋"/>
          <w:b w:val="0"/>
          <w:bCs w:val="0"/>
          <w:szCs w:val="28"/>
        </w:rPr>
        <w:t>分。</w:t>
      </w:r>
    </w:p>
    <w:p>
      <w:pPr>
        <w:spacing w:line="610" w:lineRule="exact"/>
        <w:ind w:firstLine="560"/>
        <w:jc w:val="left"/>
        <w:rPr>
          <w:rFonts w:hint="eastAsia" w:ascii="仿宋" w:hAnsi="仿宋" w:eastAsia="仿宋" w:cs="仿宋"/>
          <w:b w:val="0"/>
          <w:bCs w:val="0"/>
          <w:szCs w:val="28"/>
          <w:lang w:eastAsia="zh-CN"/>
        </w:rPr>
      </w:pPr>
      <w:r>
        <w:rPr>
          <w:rFonts w:hint="eastAsia" w:ascii="仿宋" w:hAnsi="仿宋" w:cs="仿宋"/>
          <w:b w:val="0"/>
          <w:bCs w:val="0"/>
          <w:szCs w:val="28"/>
        </w:rPr>
        <w:t>2、</w:t>
      </w:r>
      <w:r>
        <w:rPr>
          <w:rFonts w:hint="eastAsia" w:ascii="仿宋" w:hAnsi="仿宋" w:cs="仿宋"/>
          <w:b w:val="0"/>
          <w:bCs w:val="0"/>
          <w:szCs w:val="28"/>
          <w:lang w:eastAsia="zh-CN"/>
        </w:rPr>
        <w:t>绩效目标合理性</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rPr>
        <w:t>平陆县2022年疫情防控项目资金符合国家相关法律法规、国民经济发展规划和党委政府决策。但</w:t>
      </w:r>
      <w:r>
        <w:rPr>
          <w:rFonts w:hint="eastAsia" w:ascii="仿宋" w:hAnsi="仿宋" w:cs="仿宋"/>
          <w:b w:val="0"/>
          <w:bCs w:val="0"/>
          <w:szCs w:val="28"/>
          <w:lang w:eastAsia="zh-CN"/>
        </w:rPr>
        <w:t>平陆县卫生健康和体育局</w:t>
      </w:r>
      <w:r>
        <w:rPr>
          <w:rFonts w:hint="eastAsia" w:ascii="仿宋" w:hAnsi="仿宋" w:cs="仿宋"/>
          <w:b w:val="0"/>
          <w:bCs w:val="0"/>
          <w:szCs w:val="28"/>
        </w:rPr>
        <w:t>未提供该项目绩效目标申报表等相关资料，通过</w:t>
      </w:r>
      <w:r>
        <w:rPr>
          <w:rFonts w:hint="eastAsia" w:ascii="仿宋" w:hAnsi="仿宋" w:cs="仿宋"/>
          <w:b w:val="0"/>
          <w:bCs w:val="0"/>
          <w:szCs w:val="28"/>
          <w:lang w:eastAsia="zh-CN"/>
        </w:rPr>
        <w:t>相关</w:t>
      </w:r>
      <w:r>
        <w:rPr>
          <w:rFonts w:hint="eastAsia" w:ascii="仿宋" w:hAnsi="仿宋" w:cs="仿宋"/>
          <w:b w:val="0"/>
          <w:bCs w:val="0"/>
          <w:szCs w:val="28"/>
        </w:rPr>
        <w:t>资料佐证</w:t>
      </w:r>
      <w:r>
        <w:rPr>
          <w:rFonts w:hint="eastAsia" w:ascii="仿宋" w:hAnsi="仿宋" w:cs="仿宋"/>
          <w:b w:val="0"/>
          <w:bCs w:val="0"/>
          <w:szCs w:val="28"/>
          <w:lang w:eastAsia="zh-CN"/>
        </w:rPr>
        <w:t>和实地勘察</w:t>
      </w:r>
      <w:r>
        <w:rPr>
          <w:rFonts w:hint="eastAsia" w:ascii="仿宋" w:hAnsi="仿宋" w:cs="仿宋"/>
          <w:b w:val="0"/>
          <w:bCs w:val="0"/>
          <w:szCs w:val="28"/>
        </w:rPr>
        <w:t>该项目预期绩效指标具有可测性且对比合理</w:t>
      </w:r>
      <w:r>
        <w:rPr>
          <w:rFonts w:hint="eastAsia" w:ascii="仿宋" w:hAnsi="仿宋" w:cs="仿宋"/>
          <w:b w:val="0"/>
          <w:bCs w:val="0"/>
          <w:szCs w:val="28"/>
          <w:lang w:val="en-US" w:eastAsia="zh-CN"/>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据评分标准，该指标</w:t>
      </w:r>
      <w:r>
        <w:rPr>
          <w:rFonts w:hint="eastAsia" w:ascii="仿宋" w:hAnsi="仿宋" w:cs="仿宋"/>
          <w:b w:val="0"/>
          <w:bCs w:val="0"/>
          <w:szCs w:val="28"/>
          <w:lang w:eastAsia="zh-CN"/>
        </w:rPr>
        <w:t>的</w:t>
      </w:r>
      <w:r>
        <w:rPr>
          <w:rFonts w:hint="eastAsia" w:ascii="仿宋" w:hAnsi="仿宋" w:cs="仿宋"/>
          <w:b w:val="0"/>
          <w:bCs w:val="0"/>
          <w:szCs w:val="28"/>
          <w:lang w:val="en-US" w:eastAsia="zh-CN"/>
        </w:rPr>
        <w:t>50</w:t>
      </w:r>
      <w:r>
        <w:rPr>
          <w:rFonts w:hint="eastAsia" w:ascii="仿宋" w:hAnsi="仿宋" w:cs="仿宋"/>
          <w:b w:val="0"/>
          <w:bCs w:val="0"/>
          <w:szCs w:val="28"/>
        </w:rPr>
        <w:t>%权重分。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8</w:t>
      </w:r>
      <w:r>
        <w:rPr>
          <w:rFonts w:hint="eastAsia" w:ascii="仿宋" w:hAnsi="仿宋" w:cs="仿宋"/>
          <w:b w:val="0"/>
          <w:bCs w:val="0"/>
          <w:szCs w:val="28"/>
        </w:rPr>
        <w:t>分，得分</w:t>
      </w:r>
      <w:r>
        <w:rPr>
          <w:rFonts w:hint="eastAsia" w:ascii="仿宋" w:hAnsi="仿宋" w:cs="仿宋"/>
          <w:b w:val="0"/>
          <w:bCs w:val="0"/>
          <w:szCs w:val="28"/>
          <w:lang w:val="en-US" w:eastAsia="zh-CN"/>
        </w:rPr>
        <w:t>4</w:t>
      </w:r>
      <w:r>
        <w:rPr>
          <w:rFonts w:hint="eastAsia" w:ascii="仿宋" w:hAnsi="仿宋" w:cs="仿宋"/>
          <w:b w:val="0"/>
          <w:bCs w:val="0"/>
          <w:szCs w:val="28"/>
        </w:rPr>
        <w:t>分。</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3、资金到位率</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评价人员通过查阅会计账簿、凭证等资料，</w:t>
      </w:r>
      <w:r>
        <w:rPr>
          <w:rFonts w:hint="eastAsia" w:ascii="仿宋" w:hAnsi="仿宋" w:cs="仿宋"/>
          <w:b w:val="0"/>
          <w:bCs w:val="0"/>
          <w:szCs w:val="28"/>
          <w:lang w:eastAsia="zh-CN"/>
        </w:rPr>
        <w:t>平陆县卫生健康和体育局</w:t>
      </w:r>
      <w:r>
        <w:rPr>
          <w:rFonts w:hint="eastAsia" w:ascii="仿宋" w:hAnsi="仿宋" w:cs="仿宋"/>
          <w:b w:val="0"/>
          <w:bCs w:val="0"/>
          <w:szCs w:val="28"/>
          <w:lang w:val="en-US" w:eastAsia="zh-CN"/>
        </w:rPr>
        <w:t>直各单位根据工作实际，以正式文件形式向平陆县卫健局提报资金需求，相应需求资金经平陆县卫健局局长及分管领导签字同意后，由平陆县卫健局填报国库专项资金审批表申请拨付。根据评分标准，资金到位率=（实际到位资金／计划投入资金）*100%＝（28410091.16/28410091.16）*100%＝100%，</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根据评分标准，得100%的权重分。</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满分3分，得分3分。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w:t>
      </w:r>
      <w:r>
        <w:rPr>
          <w:rFonts w:hint="eastAsia" w:ascii="仿宋" w:hAnsi="仿宋" w:cs="仿宋"/>
          <w:b w:val="0"/>
          <w:bCs w:val="0"/>
          <w:szCs w:val="28"/>
          <w:lang w:val="en-US" w:eastAsia="zh-CN"/>
        </w:rPr>
        <w:t>2</w:t>
      </w:r>
      <w:r>
        <w:rPr>
          <w:rFonts w:hint="eastAsia" w:ascii="仿宋" w:hAnsi="仿宋" w:cs="仿宋"/>
          <w:b w:val="0"/>
          <w:bCs w:val="0"/>
          <w:szCs w:val="28"/>
        </w:rPr>
        <w:t>）过程类指标分析</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过程类指标主要从项目管理和资金管理两方面对项目实施过程进行评价，项目管理下分三个三级指标，资金管理下分三个三级指标。过程类指标权重分值为20分，实际评价得</w:t>
      </w:r>
      <w:r>
        <w:rPr>
          <w:rFonts w:hint="eastAsia" w:ascii="仿宋" w:hAnsi="仿宋" w:cs="仿宋"/>
          <w:b w:val="0"/>
          <w:bCs w:val="0"/>
          <w:szCs w:val="28"/>
          <w:highlight w:val="none"/>
        </w:rPr>
        <w:t>分为</w:t>
      </w:r>
      <w:r>
        <w:rPr>
          <w:rFonts w:hint="eastAsia" w:ascii="仿宋" w:hAnsi="仿宋" w:cs="仿宋"/>
          <w:b w:val="0"/>
          <w:bCs w:val="0"/>
          <w:szCs w:val="28"/>
          <w:highlight w:val="none"/>
          <w:lang w:val="en-US" w:eastAsia="zh-CN"/>
        </w:rPr>
        <w:t>16</w:t>
      </w:r>
      <w:r>
        <w:rPr>
          <w:rFonts w:hint="eastAsia" w:ascii="仿宋" w:hAnsi="仿宋" w:cs="仿宋"/>
          <w:b w:val="0"/>
          <w:bCs w:val="0"/>
          <w:szCs w:val="28"/>
          <w:highlight w:val="none"/>
        </w:rPr>
        <w:t>分，得分率为</w:t>
      </w:r>
      <w:r>
        <w:rPr>
          <w:rFonts w:hint="eastAsia" w:ascii="仿宋" w:hAnsi="仿宋" w:cs="仿宋"/>
          <w:b w:val="0"/>
          <w:bCs w:val="0"/>
          <w:szCs w:val="28"/>
          <w:highlight w:val="none"/>
          <w:lang w:val="en-US" w:eastAsia="zh-CN"/>
        </w:rPr>
        <w:t>80.00</w:t>
      </w:r>
      <w:r>
        <w:rPr>
          <w:rFonts w:hint="eastAsia" w:ascii="仿宋" w:hAnsi="仿宋" w:cs="仿宋"/>
          <w:b w:val="0"/>
          <w:bCs w:val="0"/>
          <w:szCs w:val="28"/>
          <w:highlight w:val="none"/>
        </w:rPr>
        <w:t>%。</w:t>
      </w:r>
    </w:p>
    <w:p>
      <w:pPr>
        <w:numPr>
          <w:ilvl w:val="0"/>
          <w:numId w:val="4"/>
        </w:numPr>
        <w:spacing w:line="610" w:lineRule="exact"/>
        <w:ind w:firstLine="560"/>
        <w:jc w:val="left"/>
        <w:rPr>
          <w:rFonts w:hint="eastAsia" w:ascii="仿宋" w:hAnsi="仿宋" w:cs="仿宋"/>
          <w:b w:val="0"/>
          <w:bCs w:val="0"/>
          <w:szCs w:val="28"/>
        </w:rPr>
      </w:pPr>
      <w:r>
        <w:rPr>
          <w:rFonts w:hint="eastAsia" w:ascii="仿宋" w:hAnsi="仿宋" w:cs="仿宋"/>
          <w:b w:val="0"/>
          <w:bCs w:val="0"/>
          <w:szCs w:val="28"/>
          <w:lang w:eastAsia="zh-CN"/>
        </w:rPr>
        <w:t>项目管理制度健全性</w:t>
      </w:r>
    </w:p>
    <w:p>
      <w:pPr>
        <w:numPr>
          <w:ilvl w:val="-1"/>
          <w:numId w:val="0"/>
        </w:numPr>
        <w:spacing w:line="610" w:lineRule="exact"/>
        <w:ind w:firstLine="560" w:firstLineChars="0"/>
        <w:jc w:val="left"/>
        <w:rPr>
          <w:rFonts w:hint="eastAsia" w:ascii="仿宋" w:hAnsi="仿宋" w:cs="仿宋"/>
          <w:szCs w:val="28"/>
        </w:rPr>
      </w:pPr>
      <w:r>
        <w:rPr>
          <w:rFonts w:hint="eastAsia" w:ascii="仿宋" w:hAnsi="仿宋" w:cs="仿宋"/>
          <w:b w:val="0"/>
          <w:bCs w:val="0"/>
          <w:szCs w:val="28"/>
        </w:rPr>
        <w:t>评价人员查看相关资料了解到，项目实施单位为</w:t>
      </w:r>
      <w:r>
        <w:rPr>
          <w:rFonts w:hint="eastAsia" w:ascii="仿宋" w:hAnsi="仿宋" w:cs="仿宋"/>
          <w:b w:val="0"/>
          <w:bCs w:val="0"/>
          <w:szCs w:val="28"/>
          <w:lang w:eastAsia="zh-CN"/>
        </w:rPr>
        <w:t>平陆县卫生健康和体育局</w:t>
      </w:r>
      <w:r>
        <w:rPr>
          <w:rFonts w:hint="eastAsia" w:ascii="仿宋" w:hAnsi="仿宋" w:cs="仿宋"/>
          <w:b w:val="0"/>
          <w:bCs w:val="0"/>
          <w:szCs w:val="28"/>
        </w:rPr>
        <w:t>。建立了</w:t>
      </w:r>
      <w:r>
        <w:rPr>
          <w:rFonts w:hint="eastAsia" w:ascii="仿宋" w:hAnsi="仿宋" w:cs="仿宋"/>
          <w:b w:val="0"/>
          <w:bCs w:val="0"/>
          <w:szCs w:val="28"/>
          <w:lang w:eastAsia="zh-CN"/>
        </w:rPr>
        <w:t>平陆县疫情防控项目资金</w:t>
      </w:r>
      <w:r>
        <w:rPr>
          <w:rFonts w:hint="eastAsia" w:ascii="仿宋" w:hAnsi="仿宋" w:cs="仿宋"/>
          <w:b w:val="0"/>
          <w:bCs w:val="0"/>
          <w:szCs w:val="28"/>
        </w:rPr>
        <w:t>管理制度，制度包括</w:t>
      </w:r>
      <w:r>
        <w:rPr>
          <w:rFonts w:hint="eastAsia" w:ascii="仿宋" w:hAnsi="仿宋" w:cs="仿宋"/>
          <w:b w:val="0"/>
          <w:bCs w:val="0"/>
          <w:szCs w:val="28"/>
          <w:lang w:eastAsia="zh-CN"/>
        </w:rPr>
        <w:t>专项资金</w:t>
      </w:r>
      <w:r>
        <w:rPr>
          <w:rFonts w:hint="eastAsia" w:ascii="仿宋" w:hAnsi="仿宋" w:cs="仿宋"/>
          <w:b w:val="0"/>
          <w:bCs w:val="0"/>
          <w:szCs w:val="28"/>
        </w:rPr>
        <w:t>管理、</w:t>
      </w:r>
      <w:r>
        <w:rPr>
          <w:rFonts w:hint="eastAsia" w:ascii="仿宋" w:hAnsi="仿宋" w:cs="仿宋"/>
          <w:b w:val="0"/>
          <w:bCs w:val="0"/>
          <w:szCs w:val="28"/>
          <w:lang w:eastAsia="zh-CN"/>
        </w:rPr>
        <w:t>基层单位管理</w:t>
      </w:r>
      <w:r>
        <w:rPr>
          <w:rFonts w:hint="eastAsia" w:ascii="仿宋" w:hAnsi="仿宋" w:cs="仿宋"/>
          <w:b w:val="0"/>
          <w:bCs w:val="0"/>
          <w:szCs w:val="28"/>
        </w:rPr>
        <w:t>等制度</w:t>
      </w:r>
      <w:r>
        <w:rPr>
          <w:rFonts w:hint="eastAsia" w:ascii="仿宋" w:hAnsi="仿宋" w:cs="仿宋"/>
          <w:szCs w:val="28"/>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根据评分标准，得100%的权重分。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1</w:t>
      </w:r>
      <w:r>
        <w:rPr>
          <w:rFonts w:hint="eastAsia" w:ascii="仿宋" w:hAnsi="仿宋" w:cs="仿宋"/>
          <w:b w:val="0"/>
          <w:bCs w:val="0"/>
          <w:szCs w:val="28"/>
        </w:rPr>
        <w:t>分，得分</w:t>
      </w:r>
      <w:r>
        <w:rPr>
          <w:rFonts w:hint="eastAsia" w:ascii="仿宋" w:hAnsi="仿宋" w:cs="仿宋"/>
          <w:b w:val="0"/>
          <w:bCs w:val="0"/>
          <w:szCs w:val="28"/>
          <w:lang w:val="en-US" w:eastAsia="zh-CN"/>
        </w:rPr>
        <w:t>1</w:t>
      </w:r>
      <w:r>
        <w:rPr>
          <w:rFonts w:hint="eastAsia" w:ascii="仿宋" w:hAnsi="仿宋" w:cs="仿宋"/>
          <w:b w:val="0"/>
          <w:bCs w:val="0"/>
          <w:szCs w:val="28"/>
        </w:rPr>
        <w:t>分。</w:t>
      </w:r>
    </w:p>
    <w:p>
      <w:pPr>
        <w:numPr>
          <w:ilvl w:val="0"/>
          <w:numId w:val="4"/>
        </w:numPr>
        <w:spacing w:line="610" w:lineRule="exact"/>
        <w:ind w:firstLine="560" w:firstLineChars="200"/>
        <w:jc w:val="left"/>
        <w:rPr>
          <w:rFonts w:hint="eastAsia" w:ascii="仿宋" w:hAnsi="仿宋" w:cs="仿宋"/>
          <w:szCs w:val="28"/>
          <w:highlight w:val="none"/>
        </w:rPr>
      </w:pPr>
      <w:r>
        <w:rPr>
          <w:rFonts w:hint="eastAsia" w:ascii="仿宋" w:hAnsi="仿宋" w:cs="仿宋"/>
          <w:szCs w:val="28"/>
          <w:highlight w:val="none"/>
          <w:lang w:eastAsia="zh-CN"/>
        </w:rPr>
        <w:t>项目实施</w:t>
      </w:r>
    </w:p>
    <w:p>
      <w:pPr>
        <w:numPr>
          <w:ilvl w:val="-1"/>
          <w:numId w:val="0"/>
        </w:numPr>
        <w:spacing w:line="610" w:lineRule="exact"/>
        <w:ind w:firstLine="560" w:firstLineChars="200"/>
        <w:jc w:val="left"/>
        <w:rPr>
          <w:rFonts w:hint="eastAsia" w:ascii="仿宋" w:hAnsi="仿宋" w:cs="仿宋"/>
          <w:szCs w:val="28"/>
        </w:rPr>
      </w:pPr>
      <w:r>
        <w:rPr>
          <w:rFonts w:hint="eastAsia" w:ascii="仿宋" w:hAnsi="仿宋" w:cs="仿宋"/>
          <w:b w:val="0"/>
          <w:bCs w:val="0"/>
          <w:szCs w:val="28"/>
        </w:rPr>
        <w:t>绩效评价人员实地勘查主管单位，</w:t>
      </w:r>
      <w:r>
        <w:rPr>
          <w:rFonts w:hint="eastAsia" w:ascii="仿宋" w:hAnsi="仿宋" w:cs="仿宋"/>
          <w:b w:val="0"/>
          <w:bCs w:val="0"/>
          <w:szCs w:val="28"/>
          <w:lang w:eastAsia="zh-CN"/>
        </w:rPr>
        <w:t>平陆县卫生健康和体育局</w:t>
      </w:r>
      <w:r>
        <w:rPr>
          <w:rFonts w:hint="eastAsia" w:ascii="仿宋" w:hAnsi="仿宋" w:cs="仿宋"/>
          <w:b w:val="0"/>
          <w:bCs w:val="0"/>
          <w:szCs w:val="28"/>
          <w:lang w:val="en-US" w:eastAsia="zh-CN"/>
        </w:rPr>
        <w:t>直各单位根据工作实际，以正式文件形式向平陆县卫健局提报资金需求，相应需求资金经平陆县卫健局局长及分管领导签字同意后，由平陆县卫健局填报国库专项资金审批表申请拨付</w:t>
      </w:r>
      <w:r>
        <w:rPr>
          <w:rFonts w:hint="eastAsia" w:ascii="仿宋" w:hAnsi="仿宋" w:cs="仿宋"/>
          <w:szCs w:val="28"/>
          <w:lang w:val="en-US" w:eastAsia="zh-CN"/>
        </w:rPr>
        <w:t>。项目按规定程序实施。</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w:t>
      </w:r>
      <w:r>
        <w:rPr>
          <w:rFonts w:hint="eastAsia" w:ascii="仿宋" w:hAnsi="仿宋" w:cs="仿宋"/>
          <w:b w:val="0"/>
          <w:bCs w:val="0"/>
          <w:szCs w:val="28"/>
          <w:lang w:eastAsia="zh-CN"/>
        </w:rPr>
        <w:t>得</w:t>
      </w:r>
      <w:r>
        <w:rPr>
          <w:rFonts w:hint="eastAsia" w:ascii="仿宋" w:hAnsi="仿宋" w:cs="仿宋"/>
          <w:b w:val="0"/>
          <w:bCs w:val="0"/>
          <w:szCs w:val="28"/>
          <w:lang w:val="en-US" w:eastAsia="zh-CN"/>
        </w:rPr>
        <w:t>100%的权重分</w:t>
      </w:r>
      <w:r>
        <w:rPr>
          <w:rFonts w:hint="eastAsia" w:ascii="仿宋" w:hAnsi="仿宋" w:cs="仿宋"/>
          <w:b w:val="0"/>
          <w:bCs w:val="0"/>
          <w:szCs w:val="28"/>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6</w:t>
      </w:r>
      <w:r>
        <w:rPr>
          <w:rFonts w:hint="eastAsia" w:ascii="仿宋" w:hAnsi="仿宋" w:cs="仿宋"/>
          <w:b w:val="0"/>
          <w:bCs w:val="0"/>
          <w:szCs w:val="28"/>
        </w:rPr>
        <w:t>分，得分</w:t>
      </w:r>
      <w:r>
        <w:rPr>
          <w:rFonts w:hint="eastAsia" w:ascii="仿宋" w:hAnsi="仿宋" w:cs="仿宋"/>
          <w:b w:val="0"/>
          <w:bCs w:val="0"/>
          <w:szCs w:val="28"/>
          <w:lang w:val="en-US" w:eastAsia="zh-CN"/>
        </w:rPr>
        <w:t>6</w:t>
      </w:r>
      <w:r>
        <w:rPr>
          <w:rFonts w:hint="eastAsia" w:ascii="仿宋" w:hAnsi="仿宋" w:cs="仿宋"/>
          <w:b w:val="0"/>
          <w:bCs w:val="0"/>
          <w:szCs w:val="28"/>
        </w:rPr>
        <w:t>分。</w:t>
      </w:r>
    </w:p>
    <w:p>
      <w:pPr>
        <w:numPr>
          <w:ilvl w:val="0"/>
          <w:numId w:val="4"/>
        </w:numPr>
        <w:spacing w:line="610" w:lineRule="exact"/>
        <w:ind w:firstLine="560" w:firstLineChars="200"/>
        <w:jc w:val="left"/>
        <w:rPr>
          <w:rFonts w:hint="eastAsia" w:ascii="仿宋" w:hAnsi="仿宋" w:cs="仿宋"/>
          <w:b w:val="0"/>
          <w:bCs w:val="0"/>
          <w:szCs w:val="28"/>
          <w:highlight w:val="none"/>
          <w:lang w:val="en-US" w:eastAsia="zh-CN"/>
        </w:rPr>
      </w:pPr>
      <w:r>
        <w:rPr>
          <w:rFonts w:hint="eastAsia" w:ascii="仿宋" w:hAnsi="仿宋" w:cs="仿宋"/>
          <w:b w:val="0"/>
          <w:bCs w:val="0"/>
          <w:szCs w:val="28"/>
          <w:highlight w:val="none"/>
          <w:lang w:val="en-US" w:eastAsia="zh-CN"/>
        </w:rPr>
        <w:t>项目质量管理</w:t>
      </w:r>
    </w:p>
    <w:p>
      <w:pPr>
        <w:numPr>
          <w:ilvl w:val="-1"/>
          <w:numId w:val="0"/>
        </w:numPr>
        <w:spacing w:line="610" w:lineRule="exact"/>
        <w:ind w:firstLine="560" w:firstLineChars="0"/>
        <w:jc w:val="left"/>
        <w:rPr>
          <w:rFonts w:hint="eastAsia" w:ascii="仿宋" w:hAnsi="仿宋" w:cs="仿宋"/>
          <w:szCs w:val="28"/>
          <w:lang w:val="en-US" w:eastAsia="zh-CN"/>
        </w:rPr>
      </w:pPr>
      <w:r>
        <w:rPr>
          <w:rFonts w:hint="eastAsia" w:ascii="仿宋" w:hAnsi="仿宋" w:cs="仿宋"/>
          <w:b w:val="0"/>
          <w:bCs w:val="0"/>
          <w:szCs w:val="28"/>
        </w:rPr>
        <w:t>绩效评价人员勘查了解到，</w:t>
      </w:r>
      <w:r>
        <w:rPr>
          <w:rFonts w:hint="eastAsia" w:ascii="仿宋" w:hAnsi="仿宋" w:cs="仿宋"/>
          <w:b w:val="0"/>
          <w:bCs w:val="0"/>
          <w:szCs w:val="28"/>
          <w:lang w:eastAsia="zh-CN"/>
        </w:rPr>
        <w:t>平陆县卫生健康和体育局制定了相应的疫情防控项目专项资金的具体使用要求。</w:t>
      </w:r>
      <w:r>
        <w:rPr>
          <w:rFonts w:hint="eastAsia" w:ascii="仿宋" w:hAnsi="仿宋" w:cs="仿宋"/>
          <w:b w:val="0"/>
          <w:bCs w:val="0"/>
          <w:szCs w:val="28"/>
        </w:rPr>
        <w:t>但</w:t>
      </w:r>
      <w:r>
        <w:rPr>
          <w:rFonts w:hint="eastAsia" w:ascii="仿宋" w:hAnsi="仿宋" w:cs="仿宋"/>
          <w:b w:val="0"/>
          <w:bCs w:val="0"/>
          <w:szCs w:val="28"/>
          <w:lang w:eastAsia="zh-CN"/>
        </w:rPr>
        <w:t>平陆县卫生健康和体育局未对局直单位和各乡镇卫生院等下属基层单位在资金使用过程中进行抽查</w:t>
      </w:r>
      <w:r>
        <w:rPr>
          <w:rFonts w:hint="eastAsia" w:ascii="仿宋" w:hAnsi="仿宋" w:cs="仿宋"/>
          <w:szCs w:val="28"/>
          <w:lang w:val="en-US" w:eastAsia="zh-CN"/>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根据评分标准，得</w:t>
      </w:r>
      <w:r>
        <w:rPr>
          <w:rFonts w:hint="eastAsia" w:ascii="仿宋" w:hAnsi="仿宋" w:cs="仿宋"/>
          <w:b w:val="0"/>
          <w:bCs w:val="0"/>
          <w:szCs w:val="28"/>
          <w:lang w:val="en-US" w:eastAsia="zh-CN"/>
        </w:rPr>
        <w:t>33.33</w:t>
      </w:r>
      <w:r>
        <w:rPr>
          <w:rFonts w:hint="eastAsia" w:ascii="仿宋" w:hAnsi="仿宋" w:cs="仿宋"/>
          <w:b w:val="0"/>
          <w:bCs w:val="0"/>
          <w:szCs w:val="28"/>
        </w:rPr>
        <w:t>%的权重分。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3</w:t>
      </w:r>
      <w:r>
        <w:rPr>
          <w:rFonts w:hint="eastAsia" w:ascii="仿宋" w:hAnsi="仿宋" w:cs="仿宋"/>
          <w:b w:val="0"/>
          <w:bCs w:val="0"/>
          <w:szCs w:val="28"/>
        </w:rPr>
        <w:t>分，得分</w:t>
      </w:r>
      <w:r>
        <w:rPr>
          <w:rFonts w:hint="eastAsia" w:ascii="仿宋" w:hAnsi="仿宋" w:cs="仿宋"/>
          <w:b w:val="0"/>
          <w:bCs w:val="0"/>
          <w:szCs w:val="28"/>
          <w:lang w:val="en-US" w:eastAsia="zh-CN"/>
        </w:rPr>
        <w:t>1</w:t>
      </w:r>
      <w:r>
        <w:rPr>
          <w:rFonts w:hint="eastAsia" w:ascii="仿宋" w:hAnsi="仿宋" w:cs="仿宋"/>
          <w:b w:val="0"/>
          <w:bCs w:val="0"/>
          <w:szCs w:val="28"/>
        </w:rPr>
        <w:t>分。</w:t>
      </w:r>
    </w:p>
    <w:p>
      <w:pPr>
        <w:numPr>
          <w:ilvl w:val="0"/>
          <w:numId w:val="4"/>
        </w:numPr>
        <w:spacing w:line="610" w:lineRule="exact"/>
        <w:ind w:firstLine="560" w:firstLineChars="20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财务制度健全性</w:t>
      </w:r>
    </w:p>
    <w:p>
      <w:pPr>
        <w:numPr>
          <w:ilvl w:val="-1"/>
          <w:numId w:val="0"/>
        </w:numPr>
        <w:spacing w:line="610" w:lineRule="exact"/>
        <w:ind w:firstLine="560" w:firstLineChars="200"/>
        <w:jc w:val="left"/>
        <w:rPr>
          <w:rFonts w:hint="eastAsia" w:ascii="仿宋" w:hAnsi="仿宋" w:cs="仿宋"/>
          <w:szCs w:val="28"/>
          <w:lang w:val="en-US" w:eastAsia="zh-CN"/>
        </w:rPr>
      </w:pPr>
      <w:r>
        <w:rPr>
          <w:rFonts w:hint="eastAsia" w:ascii="仿宋" w:hAnsi="仿宋" w:cs="仿宋"/>
          <w:b w:val="0"/>
          <w:bCs w:val="0"/>
          <w:szCs w:val="28"/>
        </w:rPr>
        <w:t>绩效评价人员查看了解到，</w:t>
      </w:r>
      <w:r>
        <w:rPr>
          <w:rFonts w:hint="eastAsia" w:ascii="仿宋" w:hAnsi="仿宋" w:cs="仿宋"/>
          <w:b w:val="0"/>
          <w:bCs w:val="0"/>
          <w:szCs w:val="28"/>
          <w:lang w:eastAsia="zh-CN"/>
        </w:rPr>
        <w:t>平陆县卫生健康和体育局</w:t>
      </w:r>
      <w:r>
        <w:rPr>
          <w:rFonts w:hint="eastAsia" w:ascii="仿宋" w:hAnsi="仿宋" w:cs="仿宋"/>
          <w:b w:val="0"/>
          <w:bCs w:val="0"/>
          <w:szCs w:val="28"/>
        </w:rPr>
        <w:t>具有《财务管理制度》，并针对该项目建立了《</w:t>
      </w:r>
      <w:r>
        <w:rPr>
          <w:rFonts w:hint="eastAsia" w:ascii="仿宋" w:hAnsi="仿宋" w:cs="仿宋"/>
          <w:b w:val="0"/>
          <w:bCs w:val="0"/>
          <w:szCs w:val="28"/>
          <w:lang w:eastAsia="zh-CN"/>
        </w:rPr>
        <w:t>疫情防控</w:t>
      </w:r>
      <w:r>
        <w:rPr>
          <w:rFonts w:hint="eastAsia" w:ascii="仿宋" w:hAnsi="仿宋" w:cs="仿宋"/>
          <w:b w:val="0"/>
          <w:bCs w:val="0"/>
          <w:szCs w:val="28"/>
        </w:rPr>
        <w:t>资金管理制度》，且内容合法、合规、从制度上保证了项目顺利实施</w:t>
      </w:r>
      <w:r>
        <w:rPr>
          <w:rFonts w:hint="eastAsia" w:ascii="仿宋" w:hAnsi="仿宋" w:cs="仿宋"/>
          <w:szCs w:val="28"/>
          <w:lang w:val="en-US" w:eastAsia="zh-CN"/>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根据评分标准，得100%的权重分。</w:t>
      </w:r>
    </w:p>
    <w:p>
      <w:pPr>
        <w:numPr>
          <w:ilvl w:val="-1"/>
          <w:numId w:val="0"/>
        </w:numPr>
        <w:spacing w:line="610" w:lineRule="exact"/>
        <w:ind w:firstLine="560" w:firstLineChars="0"/>
        <w:jc w:val="left"/>
        <w:rPr>
          <w:rFonts w:hint="default" w:ascii="仿宋" w:hAnsi="仿宋" w:cs="仿宋"/>
          <w:szCs w:val="28"/>
          <w:lang w:val="en-US" w:eastAsia="zh-CN"/>
        </w:rPr>
      </w:pPr>
      <w:r>
        <w:rPr>
          <w:rFonts w:hint="eastAsia" w:ascii="仿宋" w:hAnsi="仿宋" w:cs="仿宋"/>
          <w:b w:val="0"/>
          <w:bCs w:val="0"/>
          <w:szCs w:val="28"/>
        </w:rPr>
        <w:t>满分</w:t>
      </w:r>
      <w:r>
        <w:rPr>
          <w:rFonts w:hint="eastAsia" w:ascii="仿宋" w:hAnsi="仿宋" w:cs="仿宋"/>
          <w:b w:val="0"/>
          <w:bCs w:val="0"/>
          <w:szCs w:val="28"/>
          <w:lang w:val="en-US" w:eastAsia="zh-CN"/>
        </w:rPr>
        <w:t>2</w:t>
      </w:r>
      <w:r>
        <w:rPr>
          <w:rFonts w:hint="eastAsia" w:ascii="仿宋" w:hAnsi="仿宋" w:cs="仿宋"/>
          <w:b w:val="0"/>
          <w:bCs w:val="0"/>
          <w:szCs w:val="28"/>
        </w:rPr>
        <w:t>分，得分</w:t>
      </w:r>
      <w:r>
        <w:rPr>
          <w:rFonts w:hint="eastAsia" w:ascii="仿宋" w:hAnsi="仿宋" w:cs="仿宋"/>
          <w:b w:val="0"/>
          <w:bCs w:val="0"/>
          <w:szCs w:val="28"/>
          <w:lang w:val="en-US" w:eastAsia="zh-CN"/>
        </w:rPr>
        <w:t>2</w:t>
      </w:r>
      <w:r>
        <w:rPr>
          <w:rFonts w:hint="eastAsia" w:ascii="仿宋" w:hAnsi="仿宋" w:cs="仿宋"/>
          <w:b w:val="0"/>
          <w:bCs w:val="0"/>
          <w:szCs w:val="28"/>
        </w:rPr>
        <w:t>分。</w:t>
      </w:r>
    </w:p>
    <w:p>
      <w:pPr>
        <w:spacing w:line="610" w:lineRule="exact"/>
        <w:ind w:firstLine="560"/>
        <w:jc w:val="left"/>
        <w:rPr>
          <w:rFonts w:hint="eastAsia" w:ascii="仿宋" w:hAnsi="仿宋" w:cs="仿宋"/>
          <w:b w:val="0"/>
          <w:bCs w:val="0"/>
          <w:szCs w:val="28"/>
        </w:rPr>
      </w:pPr>
      <w:r>
        <w:rPr>
          <w:rFonts w:hint="eastAsia" w:ascii="仿宋" w:hAnsi="仿宋" w:cs="仿宋"/>
          <w:szCs w:val="28"/>
          <w:lang w:val="en-US" w:eastAsia="zh-CN"/>
        </w:rPr>
        <w:t>5、</w:t>
      </w:r>
      <w:r>
        <w:rPr>
          <w:rFonts w:hint="eastAsia" w:ascii="仿宋" w:hAnsi="仿宋" w:cs="仿宋"/>
          <w:szCs w:val="28"/>
          <w:lang w:eastAsia="zh-CN"/>
        </w:rPr>
        <w:t>资金使用合规性</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评价人员查阅资金申请、财务凭证等相关资料，了解到项目资金有专人管理</w:t>
      </w:r>
      <w:r>
        <w:rPr>
          <w:rFonts w:hint="eastAsia" w:ascii="仿宋" w:hAnsi="仿宋" w:cs="仿宋"/>
          <w:b w:val="0"/>
          <w:bCs w:val="0"/>
          <w:szCs w:val="28"/>
          <w:lang w:eastAsia="zh-CN"/>
        </w:rPr>
        <w:t>。平陆县卫生健康和体育局</w:t>
      </w:r>
      <w:r>
        <w:rPr>
          <w:rFonts w:hint="eastAsia" w:ascii="仿宋" w:hAnsi="仿宋" w:cs="仿宋"/>
          <w:b w:val="0"/>
          <w:bCs w:val="0"/>
          <w:szCs w:val="28"/>
          <w:lang w:val="en-US" w:eastAsia="zh-CN"/>
        </w:rPr>
        <w:t>直各单位根据工作实际，以正式文件形式向平陆县卫健局提报资金需求，相应需求资金经平陆县卫健局局长及分管领导签字同意后，由平陆县卫健局填报国库专项资金审批表申请拨付</w:t>
      </w:r>
      <w:r>
        <w:rPr>
          <w:rFonts w:hint="eastAsia" w:ascii="仿宋" w:hAnsi="仿宋" w:cs="仿宋"/>
          <w:b w:val="0"/>
          <w:bCs w:val="0"/>
          <w:szCs w:val="28"/>
          <w:lang w:eastAsia="zh-CN"/>
        </w:rPr>
        <w:t>。</w:t>
      </w:r>
      <w:r>
        <w:rPr>
          <w:rFonts w:hint="eastAsia" w:ascii="仿宋" w:hAnsi="仿宋" w:cs="仿宋"/>
          <w:b w:val="0"/>
          <w:bCs w:val="0"/>
          <w:szCs w:val="28"/>
        </w:rPr>
        <w:t>审批程序较为完整，不存在截留、挤占、挪用、虚列支出等情况</w:t>
      </w:r>
      <w:r>
        <w:rPr>
          <w:rFonts w:hint="eastAsia" w:ascii="仿宋" w:hAnsi="仿宋" w:cs="仿宋"/>
          <w:szCs w:val="28"/>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根据评分标准，得100%的权重分。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5</w:t>
      </w:r>
      <w:r>
        <w:rPr>
          <w:rFonts w:hint="eastAsia" w:ascii="仿宋" w:hAnsi="仿宋" w:cs="仿宋"/>
          <w:b w:val="0"/>
          <w:bCs w:val="0"/>
          <w:szCs w:val="28"/>
        </w:rPr>
        <w:t>分，得分</w:t>
      </w:r>
      <w:r>
        <w:rPr>
          <w:rFonts w:hint="eastAsia" w:ascii="仿宋" w:hAnsi="仿宋" w:cs="仿宋"/>
          <w:b w:val="0"/>
          <w:bCs w:val="0"/>
          <w:szCs w:val="28"/>
          <w:lang w:val="en-US" w:eastAsia="zh-CN"/>
        </w:rPr>
        <w:t>5</w:t>
      </w:r>
      <w:r>
        <w:rPr>
          <w:rFonts w:hint="eastAsia" w:ascii="仿宋" w:hAnsi="仿宋" w:cs="仿宋"/>
          <w:b w:val="0"/>
          <w:bCs w:val="0"/>
          <w:szCs w:val="28"/>
        </w:rPr>
        <w:t>分。</w:t>
      </w:r>
    </w:p>
    <w:p>
      <w:pPr>
        <w:numPr>
          <w:ilvl w:val="0"/>
          <w:numId w:val="0"/>
        </w:numPr>
        <w:spacing w:line="610" w:lineRule="exact"/>
        <w:ind w:firstLine="560" w:firstLineChars="200"/>
        <w:jc w:val="left"/>
        <w:rPr>
          <w:rFonts w:hint="eastAsia" w:ascii="仿宋" w:hAnsi="仿宋" w:cs="仿宋"/>
          <w:b w:val="0"/>
          <w:bCs w:val="0"/>
          <w:szCs w:val="28"/>
          <w:lang w:val="en-US" w:eastAsia="zh-CN"/>
        </w:rPr>
      </w:pPr>
      <w:r>
        <w:rPr>
          <w:rFonts w:hint="eastAsia" w:ascii="仿宋" w:hAnsi="仿宋" w:cs="仿宋"/>
          <w:b w:val="0"/>
          <w:bCs w:val="0"/>
          <w:kern w:val="2"/>
          <w:sz w:val="28"/>
          <w:szCs w:val="28"/>
          <w:lang w:val="en-US" w:eastAsia="zh-CN" w:bidi="ar-SA"/>
        </w:rPr>
        <w:t>6</w:t>
      </w:r>
      <w:r>
        <w:rPr>
          <w:rFonts w:hint="eastAsia" w:ascii="仿宋" w:hAnsi="仿宋" w:eastAsia="仿宋" w:cs="仿宋"/>
          <w:b w:val="0"/>
          <w:bCs w:val="0"/>
          <w:kern w:val="2"/>
          <w:sz w:val="28"/>
          <w:szCs w:val="28"/>
          <w:lang w:val="en-US" w:eastAsia="zh-CN" w:bidi="ar-SA"/>
        </w:rPr>
        <w:t>、</w:t>
      </w:r>
      <w:r>
        <w:rPr>
          <w:rFonts w:hint="eastAsia" w:ascii="仿宋" w:hAnsi="仿宋" w:cs="仿宋"/>
          <w:b w:val="0"/>
          <w:bCs w:val="0"/>
          <w:szCs w:val="28"/>
          <w:lang w:val="en-US" w:eastAsia="zh-CN"/>
        </w:rPr>
        <w:t>财务监控的有效性</w:t>
      </w:r>
    </w:p>
    <w:p>
      <w:pPr>
        <w:numPr>
          <w:ilvl w:val="-1"/>
          <w:numId w:val="0"/>
        </w:numPr>
        <w:spacing w:line="610" w:lineRule="exact"/>
        <w:ind w:firstLine="560" w:firstLineChars="0"/>
        <w:jc w:val="left"/>
        <w:rPr>
          <w:rFonts w:hint="eastAsia" w:ascii="仿宋" w:hAnsi="仿宋" w:cs="仿宋"/>
          <w:b w:val="0"/>
          <w:bCs w:val="0"/>
          <w:szCs w:val="28"/>
          <w:lang w:val="en-US" w:eastAsia="zh-CN"/>
        </w:rPr>
      </w:pPr>
      <w:r>
        <w:rPr>
          <w:rFonts w:hint="eastAsia" w:ascii="仿宋" w:hAnsi="仿宋" w:cs="仿宋"/>
          <w:b w:val="0"/>
          <w:bCs w:val="0"/>
          <w:szCs w:val="28"/>
        </w:rPr>
        <w:t>评价人员实地勘查项目单位，经了解，该项目资金实行专款专用，资金的拨付</w:t>
      </w:r>
      <w:r>
        <w:rPr>
          <w:rFonts w:hint="eastAsia" w:ascii="仿宋" w:hAnsi="仿宋" w:cs="仿宋"/>
          <w:b w:val="0"/>
          <w:bCs w:val="0"/>
          <w:szCs w:val="28"/>
          <w:lang w:eastAsia="zh-CN"/>
        </w:rPr>
        <w:t>总体</w:t>
      </w:r>
      <w:r>
        <w:rPr>
          <w:rFonts w:hint="eastAsia" w:ascii="仿宋" w:hAnsi="仿宋" w:cs="仿宋"/>
          <w:b w:val="0"/>
          <w:bCs w:val="0"/>
          <w:szCs w:val="28"/>
        </w:rPr>
        <w:t>有完整的审批程序和手续，符合项目预算批复规定的用途</w:t>
      </w:r>
      <w:r>
        <w:rPr>
          <w:rFonts w:hint="eastAsia" w:ascii="仿宋" w:hAnsi="仿宋" w:cs="仿宋"/>
          <w:b w:val="0"/>
          <w:bCs w:val="0"/>
          <w:szCs w:val="28"/>
          <w:lang w:val="en-US" w:eastAsia="zh-CN"/>
        </w:rPr>
        <w:t>。</w:t>
      </w:r>
    </w:p>
    <w:p>
      <w:pPr>
        <w:numPr>
          <w:ilvl w:val="-1"/>
          <w:numId w:val="0"/>
        </w:numPr>
        <w:spacing w:line="610" w:lineRule="exact"/>
        <w:ind w:firstLine="560" w:firstLineChars="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三门镇卫生院2022年6月18号凭证，支核酸采集费8,590.00元，该笔费用包括2021年1月-12月核酸采集费4,050.00元，2022年1月-2月核酸采集费4,540.00元，形成跨期列支，2021年业务挤占2022年费用。</w:t>
      </w:r>
    </w:p>
    <w:p>
      <w:pPr>
        <w:numPr>
          <w:ilvl w:val="-1"/>
          <w:numId w:val="0"/>
        </w:numPr>
        <w:spacing w:line="610" w:lineRule="exact"/>
        <w:ind w:firstLine="560" w:firstLineChars="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三门镇坡底分院2022年5月11号凭证，支坡底分院防控物资18,970.00元，凭证后附国库集中支付凭证付款时间为2022年5月18日，发票开票时间为：2021年5月19日（7,230.00元）、2021年3月17日（11,740.00元），形成跨期列支，2021年业务挤占2022年费用。</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根据评分标准，得</w:t>
      </w:r>
      <w:r>
        <w:rPr>
          <w:rFonts w:hint="eastAsia" w:ascii="仿宋" w:hAnsi="仿宋" w:cs="仿宋"/>
          <w:b w:val="0"/>
          <w:bCs w:val="0"/>
          <w:szCs w:val="28"/>
          <w:lang w:val="en-US" w:eastAsia="zh-CN"/>
        </w:rPr>
        <w:t>33.33</w:t>
      </w:r>
      <w:r>
        <w:rPr>
          <w:rFonts w:hint="eastAsia" w:ascii="仿宋" w:hAnsi="仿宋" w:cs="仿宋"/>
          <w:b w:val="0"/>
          <w:bCs w:val="0"/>
          <w:szCs w:val="28"/>
        </w:rPr>
        <w:t>%的权重分。</w:t>
      </w:r>
    </w:p>
    <w:p>
      <w:pPr>
        <w:numPr>
          <w:ilvl w:val="-1"/>
          <w:numId w:val="0"/>
        </w:numPr>
        <w:spacing w:line="610" w:lineRule="exact"/>
        <w:ind w:firstLine="560" w:firstLineChars="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3</w:t>
      </w:r>
      <w:r>
        <w:rPr>
          <w:rFonts w:hint="eastAsia" w:ascii="仿宋" w:hAnsi="仿宋" w:cs="仿宋"/>
          <w:b w:val="0"/>
          <w:bCs w:val="0"/>
          <w:szCs w:val="28"/>
        </w:rPr>
        <w:t>分，得分</w:t>
      </w:r>
      <w:r>
        <w:rPr>
          <w:rFonts w:hint="eastAsia" w:ascii="仿宋" w:hAnsi="仿宋" w:cs="仿宋"/>
          <w:b w:val="0"/>
          <w:bCs w:val="0"/>
          <w:szCs w:val="28"/>
          <w:lang w:val="en-US" w:eastAsia="zh-CN"/>
        </w:rPr>
        <w:t>1</w:t>
      </w:r>
      <w:r>
        <w:rPr>
          <w:rFonts w:hint="eastAsia" w:ascii="仿宋" w:hAnsi="仿宋" w:cs="仿宋"/>
          <w:b w:val="0"/>
          <w:bCs w:val="0"/>
          <w:szCs w:val="28"/>
        </w:rPr>
        <w:t>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w:t>
      </w:r>
      <w:r>
        <w:rPr>
          <w:rFonts w:hint="eastAsia" w:ascii="仿宋" w:hAnsi="仿宋" w:cs="仿宋"/>
          <w:b w:val="0"/>
          <w:bCs w:val="0"/>
          <w:szCs w:val="28"/>
          <w:lang w:val="en-US" w:eastAsia="zh-CN"/>
        </w:rPr>
        <w:t>3</w:t>
      </w:r>
      <w:r>
        <w:rPr>
          <w:rFonts w:hint="eastAsia" w:ascii="仿宋" w:hAnsi="仿宋" w:cs="仿宋"/>
          <w:b w:val="0"/>
          <w:bCs w:val="0"/>
          <w:szCs w:val="28"/>
        </w:rPr>
        <w:t>）产出类指标分析</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产出类指标从完成数量、完成时效、质量指标、成本控制四个方面对项目产出进行考察，完成数量下分一个三级指标，完成时效下分一个三级指标，质量指标下分两个三级指标，成本控制下分一个三级指标，产出类指标权重分值为30分，</w:t>
      </w:r>
      <w:r>
        <w:rPr>
          <w:rFonts w:hint="eastAsia" w:ascii="仿宋" w:hAnsi="仿宋" w:cs="仿宋"/>
          <w:b w:val="0"/>
          <w:bCs w:val="0"/>
          <w:szCs w:val="28"/>
          <w:highlight w:val="none"/>
        </w:rPr>
        <w:t>实际评价得分</w:t>
      </w:r>
      <w:r>
        <w:rPr>
          <w:rFonts w:hint="eastAsia" w:ascii="仿宋" w:hAnsi="仿宋" w:cs="仿宋"/>
          <w:b w:val="0"/>
          <w:bCs w:val="0"/>
          <w:szCs w:val="28"/>
          <w:highlight w:val="none"/>
          <w:lang w:val="en-US" w:eastAsia="zh-CN"/>
        </w:rPr>
        <w:t>30</w:t>
      </w:r>
      <w:r>
        <w:rPr>
          <w:rFonts w:hint="eastAsia" w:ascii="仿宋" w:hAnsi="仿宋" w:cs="仿宋"/>
          <w:b w:val="0"/>
          <w:bCs w:val="0"/>
          <w:szCs w:val="28"/>
          <w:highlight w:val="none"/>
        </w:rPr>
        <w:t>分，得分率为</w:t>
      </w:r>
      <w:r>
        <w:rPr>
          <w:rFonts w:hint="eastAsia" w:ascii="仿宋" w:hAnsi="仿宋" w:cs="仿宋"/>
          <w:b w:val="0"/>
          <w:bCs w:val="0"/>
          <w:szCs w:val="28"/>
          <w:highlight w:val="none"/>
          <w:lang w:val="en-US" w:eastAsia="zh-CN"/>
        </w:rPr>
        <w:t>100</w:t>
      </w:r>
      <w:r>
        <w:rPr>
          <w:rFonts w:hint="eastAsia" w:ascii="仿宋" w:hAnsi="仿宋" w:cs="仿宋"/>
          <w:b w:val="0"/>
          <w:bCs w:val="0"/>
          <w:szCs w:val="28"/>
          <w:highlight w:val="none"/>
        </w:rPr>
        <w:t>％</w:t>
      </w:r>
      <w:r>
        <w:rPr>
          <w:rFonts w:hint="eastAsia" w:ascii="仿宋" w:hAnsi="仿宋" w:cs="仿宋"/>
          <w:b w:val="0"/>
          <w:bCs w:val="0"/>
          <w:szCs w:val="28"/>
        </w:rPr>
        <w:t>。</w:t>
      </w:r>
    </w:p>
    <w:p>
      <w:pPr>
        <w:spacing w:line="610" w:lineRule="exact"/>
        <w:ind w:firstLine="560"/>
        <w:jc w:val="left"/>
        <w:rPr>
          <w:rFonts w:hint="eastAsia" w:ascii="仿宋" w:hAnsi="仿宋" w:eastAsia="仿宋" w:cs="仿宋"/>
          <w:b w:val="0"/>
          <w:bCs w:val="0"/>
          <w:szCs w:val="28"/>
          <w:lang w:eastAsia="zh-CN"/>
        </w:rPr>
      </w:pPr>
      <w:r>
        <w:rPr>
          <w:rFonts w:hint="eastAsia" w:ascii="仿宋" w:hAnsi="仿宋" w:cs="仿宋"/>
          <w:b w:val="0"/>
          <w:bCs w:val="0"/>
          <w:szCs w:val="28"/>
        </w:rPr>
        <w:t>1、</w:t>
      </w:r>
      <w:r>
        <w:rPr>
          <w:rFonts w:hint="eastAsia" w:ascii="仿宋" w:hAnsi="仿宋" w:cs="仿宋"/>
          <w:szCs w:val="28"/>
          <w:lang w:eastAsia="zh-CN"/>
        </w:rPr>
        <w:t>产出实际完成率</w:t>
      </w:r>
    </w:p>
    <w:p>
      <w:pPr>
        <w:spacing w:line="610" w:lineRule="exact"/>
        <w:ind w:firstLine="560"/>
        <w:jc w:val="left"/>
        <w:rPr>
          <w:rFonts w:hint="eastAsia" w:ascii="仿宋" w:hAnsi="仿宋" w:cs="仿宋"/>
          <w:szCs w:val="28"/>
          <w:u w:val="none"/>
        </w:rPr>
      </w:pPr>
      <w:r>
        <w:rPr>
          <w:rFonts w:hint="eastAsia" w:ascii="仿宋" w:hAnsi="仿宋" w:cs="仿宋"/>
          <w:b w:val="0"/>
          <w:bCs w:val="0"/>
          <w:szCs w:val="28"/>
        </w:rPr>
        <w:t>绩效评价人员现场</w:t>
      </w:r>
      <w:r>
        <w:rPr>
          <w:rFonts w:hint="eastAsia" w:ascii="仿宋" w:hAnsi="仿宋" w:cs="仿宋"/>
          <w:b w:val="0"/>
          <w:bCs w:val="0"/>
          <w:szCs w:val="28"/>
          <w:lang w:val="en-US" w:eastAsia="zh-CN"/>
        </w:rPr>
        <w:t>查阅了平陆县卫生健康和体育局关于2022年疫情防控项目总结等相关工作资料和平陆县人民政府2022年度工作总结以及填写的任务完成情况表</w:t>
      </w:r>
      <w:r>
        <w:rPr>
          <w:rFonts w:hint="eastAsia" w:ascii="仿宋" w:hAnsi="仿宋" w:cs="仿宋"/>
          <w:b w:val="0"/>
          <w:bCs w:val="0"/>
          <w:szCs w:val="28"/>
          <w:lang w:eastAsia="zh-CN"/>
        </w:rPr>
        <w:t>等资料</w:t>
      </w:r>
      <w:r>
        <w:rPr>
          <w:rFonts w:hint="eastAsia" w:ascii="仿宋" w:hAnsi="仿宋" w:cs="仿宋"/>
          <w:b w:val="0"/>
          <w:bCs w:val="0"/>
          <w:szCs w:val="28"/>
        </w:rPr>
        <w:t>，了解到平陆县</w:t>
      </w:r>
      <w:r>
        <w:rPr>
          <w:rFonts w:hint="eastAsia" w:ascii="仿宋" w:hAnsi="仿宋" w:cs="仿宋"/>
          <w:b w:val="0"/>
          <w:bCs w:val="0"/>
          <w:szCs w:val="28"/>
          <w:lang w:val="en-US" w:eastAsia="zh-CN"/>
        </w:rPr>
        <w:t>2022年疫情防控项目</w:t>
      </w:r>
      <w:r>
        <w:rPr>
          <w:rFonts w:hint="eastAsia" w:ascii="仿宋" w:hAnsi="仿宋" w:cs="仿宋"/>
          <w:szCs w:val="28"/>
        </w:rPr>
        <w:t>执行情况良好，优秀完成了应履行的各项职责。</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根据评分标准，该指标</w:t>
      </w:r>
      <w:r>
        <w:rPr>
          <w:rFonts w:hint="eastAsia" w:ascii="仿宋" w:hAnsi="仿宋" w:cs="仿宋"/>
          <w:b w:val="0"/>
          <w:bCs w:val="0"/>
          <w:szCs w:val="28"/>
          <w:lang w:eastAsia="zh-CN"/>
        </w:rPr>
        <w:t>的</w:t>
      </w:r>
      <w:r>
        <w:rPr>
          <w:rFonts w:hint="eastAsia" w:ascii="仿宋" w:hAnsi="仿宋" w:cs="仿宋"/>
          <w:b w:val="0"/>
          <w:bCs w:val="0"/>
          <w:szCs w:val="28"/>
        </w:rPr>
        <w:t>100.00%权重分。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7</w:t>
      </w:r>
      <w:r>
        <w:rPr>
          <w:rFonts w:hint="eastAsia" w:ascii="仿宋" w:hAnsi="仿宋" w:cs="仿宋"/>
          <w:b w:val="0"/>
          <w:bCs w:val="0"/>
          <w:szCs w:val="28"/>
        </w:rPr>
        <w:t>分，得分</w:t>
      </w:r>
      <w:r>
        <w:rPr>
          <w:rFonts w:hint="eastAsia" w:ascii="仿宋" w:hAnsi="仿宋" w:cs="仿宋"/>
          <w:b w:val="0"/>
          <w:bCs w:val="0"/>
          <w:szCs w:val="28"/>
          <w:lang w:val="en-US" w:eastAsia="zh-CN"/>
        </w:rPr>
        <w:t>7</w:t>
      </w:r>
      <w:r>
        <w:rPr>
          <w:rFonts w:hint="eastAsia" w:ascii="仿宋" w:hAnsi="仿宋" w:cs="仿宋"/>
          <w:b w:val="0"/>
          <w:bCs w:val="0"/>
          <w:szCs w:val="28"/>
        </w:rPr>
        <w:t>分。</w:t>
      </w:r>
    </w:p>
    <w:p>
      <w:pPr>
        <w:numPr>
          <w:ilvl w:val="0"/>
          <w:numId w:val="0"/>
        </w:numPr>
        <w:spacing w:line="610" w:lineRule="exact"/>
        <w:ind w:leftChars="20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2、完成及时性</w:t>
      </w:r>
    </w:p>
    <w:p>
      <w:pPr>
        <w:numPr>
          <w:ilvl w:val="0"/>
          <w:numId w:val="0"/>
        </w:num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评价人员现场勘查平陆县卫生健康和体育局局直单位和各乡镇卫生院，通过查看会计凭证等资料，了解到，项目资金拨付及时，保障了各单位疫情防控工作的顺利完成。</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根据评分标准，该指标得100%权重分。</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满分7分，得分7分。</w:t>
      </w:r>
    </w:p>
    <w:p>
      <w:pPr>
        <w:numPr>
          <w:ilvl w:val="0"/>
          <w:numId w:val="3"/>
        </w:numPr>
        <w:spacing w:line="610" w:lineRule="exact"/>
        <w:ind w:left="0" w:leftChars="0" w:firstLine="560" w:firstLineChars="20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完成质量达标率</w:t>
      </w:r>
    </w:p>
    <w:p>
      <w:pPr>
        <w:numPr>
          <w:ilvl w:val="0"/>
          <w:numId w:val="0"/>
        </w:num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本项目的设立是严格按照国家、省、市、县相关文件执行，确保新冠疫情防控相关物资和资金供应到位，为新冠肺炎疫情防控提供物质和资金保障，维护社会稳定，推进正常复工复产。本项目确保了新冠疫情防控相关物资和资金供应到位，维护了社会稳定，使复工复产顺利进行，完成质量达标。</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根据评分标准，该指标得</w:t>
      </w:r>
      <w:r>
        <w:rPr>
          <w:rFonts w:hint="eastAsia" w:ascii="仿宋" w:hAnsi="仿宋" w:cs="仿宋"/>
          <w:b w:val="0"/>
          <w:bCs w:val="0"/>
          <w:szCs w:val="28"/>
          <w:lang w:val="en-US" w:eastAsia="zh-CN"/>
        </w:rPr>
        <w:t>10</w:t>
      </w:r>
      <w:r>
        <w:rPr>
          <w:rFonts w:hint="default" w:ascii="仿宋" w:hAnsi="仿宋" w:cs="仿宋"/>
          <w:b w:val="0"/>
          <w:bCs w:val="0"/>
          <w:szCs w:val="28"/>
          <w:lang w:val="en-US" w:eastAsia="zh-CN"/>
        </w:rPr>
        <w:t>0%权重分。</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满分</w:t>
      </w:r>
      <w:r>
        <w:rPr>
          <w:rFonts w:hint="eastAsia" w:ascii="仿宋" w:hAnsi="仿宋" w:cs="仿宋"/>
          <w:b w:val="0"/>
          <w:bCs w:val="0"/>
          <w:szCs w:val="28"/>
          <w:lang w:val="en-US" w:eastAsia="zh-CN"/>
        </w:rPr>
        <w:t>8</w:t>
      </w:r>
      <w:r>
        <w:rPr>
          <w:rFonts w:hint="default" w:ascii="仿宋" w:hAnsi="仿宋" w:cs="仿宋"/>
          <w:b w:val="0"/>
          <w:bCs w:val="0"/>
          <w:szCs w:val="28"/>
          <w:lang w:val="en-US" w:eastAsia="zh-CN"/>
        </w:rPr>
        <w:t>分，得分</w:t>
      </w:r>
      <w:r>
        <w:rPr>
          <w:rFonts w:hint="eastAsia" w:ascii="仿宋" w:hAnsi="仿宋" w:cs="仿宋"/>
          <w:b w:val="0"/>
          <w:bCs w:val="0"/>
          <w:szCs w:val="28"/>
          <w:lang w:val="en-US" w:eastAsia="zh-CN"/>
        </w:rPr>
        <w:t>8</w:t>
      </w:r>
      <w:r>
        <w:rPr>
          <w:rFonts w:hint="default" w:ascii="仿宋" w:hAnsi="仿宋" w:cs="仿宋"/>
          <w:b w:val="0"/>
          <w:bCs w:val="0"/>
          <w:szCs w:val="28"/>
          <w:lang w:val="en-US" w:eastAsia="zh-CN"/>
        </w:rPr>
        <w:t>分。</w:t>
      </w:r>
    </w:p>
    <w:p>
      <w:pPr>
        <w:numPr>
          <w:ilvl w:val="0"/>
          <w:numId w:val="3"/>
        </w:numPr>
        <w:spacing w:line="610" w:lineRule="exact"/>
        <w:ind w:left="0" w:leftChars="0" w:firstLine="560" w:firstLineChars="20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成本管理情况</w:t>
      </w:r>
    </w:p>
    <w:p>
      <w:pPr>
        <w:numPr>
          <w:ilvl w:val="0"/>
          <w:numId w:val="0"/>
        </w:num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评价人员现场勘查项目单位，通过查看项目财务支付凭证，了解到，平陆县2022年疫情防控项目资金使用率为94.63%，资金使用率=（实际支付资金／实际到位资金）*100%＝（26884563.16/28410091.16）*100%＝94.63%</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根据评分标准，该指标得100%的权重分。</w:t>
      </w:r>
    </w:p>
    <w:p>
      <w:pPr>
        <w:numPr>
          <w:ilvl w:val="0"/>
          <w:numId w:val="0"/>
        </w:numPr>
        <w:spacing w:line="610" w:lineRule="exact"/>
        <w:ind w:firstLine="560"/>
        <w:jc w:val="left"/>
        <w:rPr>
          <w:rFonts w:hint="default" w:ascii="仿宋" w:hAnsi="仿宋" w:cs="仿宋"/>
          <w:b w:val="0"/>
          <w:bCs w:val="0"/>
          <w:szCs w:val="28"/>
          <w:lang w:val="en-US" w:eastAsia="zh-CN"/>
        </w:rPr>
      </w:pPr>
      <w:r>
        <w:rPr>
          <w:rFonts w:hint="default" w:ascii="仿宋" w:hAnsi="仿宋" w:cs="仿宋"/>
          <w:b w:val="0"/>
          <w:bCs w:val="0"/>
          <w:szCs w:val="28"/>
          <w:lang w:val="en-US" w:eastAsia="zh-CN"/>
        </w:rPr>
        <w:t>满分8分，得分8分。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w:t>
      </w:r>
      <w:r>
        <w:rPr>
          <w:rFonts w:hint="eastAsia" w:ascii="仿宋" w:hAnsi="仿宋" w:cs="仿宋"/>
          <w:b w:val="0"/>
          <w:bCs w:val="0"/>
          <w:szCs w:val="28"/>
          <w:lang w:val="en-US" w:eastAsia="zh-CN"/>
        </w:rPr>
        <w:t>4</w:t>
      </w:r>
      <w:r>
        <w:rPr>
          <w:rFonts w:hint="eastAsia" w:ascii="仿宋" w:hAnsi="仿宋" w:cs="仿宋"/>
          <w:b w:val="0"/>
          <w:bCs w:val="0"/>
          <w:szCs w:val="28"/>
        </w:rPr>
        <w:t>）效益类指标分析</w:t>
      </w:r>
    </w:p>
    <w:p>
      <w:pPr>
        <w:spacing w:line="610" w:lineRule="exact"/>
        <w:ind w:firstLine="560"/>
        <w:jc w:val="left"/>
        <w:rPr>
          <w:rFonts w:hint="eastAsia" w:ascii="仿宋" w:hAnsi="仿宋" w:cs="仿宋"/>
          <w:b w:val="0"/>
          <w:bCs w:val="0"/>
          <w:szCs w:val="28"/>
          <w:highlight w:val="none"/>
        </w:rPr>
      </w:pPr>
      <w:r>
        <w:rPr>
          <w:rFonts w:hint="eastAsia" w:ascii="仿宋" w:hAnsi="仿宋" w:cs="仿宋"/>
          <w:b w:val="0"/>
          <w:bCs w:val="0"/>
          <w:szCs w:val="28"/>
        </w:rPr>
        <w:t>效益类指标主要从经济效益、社会效益、生态效益、可持续影响四个方面对资金使用情况进行考察，经济效益下分一个三级指标，社会效益下分一个三级指标，生态效益下分一个三级指标，可持续影响下分一个三级指标，效益类指标权重分值为30分</w:t>
      </w:r>
      <w:r>
        <w:rPr>
          <w:rFonts w:hint="eastAsia" w:ascii="仿宋" w:hAnsi="仿宋" w:cs="仿宋"/>
          <w:b w:val="0"/>
          <w:bCs w:val="0"/>
          <w:szCs w:val="28"/>
          <w:highlight w:val="none"/>
        </w:rPr>
        <w:t>，实际评价得28分，得分率为93.33%。</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1、经济效益指标</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lang w:val="en-US" w:eastAsia="zh-CN"/>
        </w:rPr>
        <w:t>平陆县2022年疫情防控</w:t>
      </w:r>
      <w:r>
        <w:rPr>
          <w:rFonts w:hint="eastAsia" w:ascii="仿宋" w:hAnsi="仿宋" w:cs="仿宋"/>
          <w:szCs w:val="28"/>
        </w:rPr>
        <w:t>项目</w:t>
      </w:r>
      <w:r>
        <w:rPr>
          <w:rFonts w:hint="eastAsia" w:ascii="仿宋" w:hAnsi="仿宋" w:cs="仿宋"/>
          <w:szCs w:val="28"/>
          <w:lang w:eastAsia="zh-CN"/>
        </w:rPr>
        <w:t>的</w:t>
      </w:r>
      <w:r>
        <w:rPr>
          <w:rFonts w:hint="eastAsia" w:ascii="仿宋" w:hAnsi="仿宋" w:cs="仿宋"/>
          <w:szCs w:val="28"/>
        </w:rPr>
        <w:t>实施推进了复工复产顺利进行，将疫情产生的经济影响最小化，取得了较高的经济效益。</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根据评分标准，该指标</w:t>
      </w:r>
      <w:r>
        <w:rPr>
          <w:rFonts w:hint="eastAsia" w:ascii="仿宋" w:hAnsi="仿宋" w:cs="仿宋"/>
          <w:b w:val="0"/>
          <w:bCs w:val="0"/>
          <w:szCs w:val="28"/>
          <w:lang w:eastAsia="zh-CN"/>
        </w:rPr>
        <w:t>的</w:t>
      </w:r>
      <w:r>
        <w:rPr>
          <w:rFonts w:hint="eastAsia" w:ascii="仿宋" w:hAnsi="仿宋" w:cs="仿宋"/>
          <w:b w:val="0"/>
          <w:bCs w:val="0"/>
          <w:szCs w:val="28"/>
        </w:rPr>
        <w:t>100%权重分。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w:t>
      </w:r>
      <w:r>
        <w:rPr>
          <w:rFonts w:hint="eastAsia" w:ascii="仿宋" w:hAnsi="仿宋" w:cs="仿宋"/>
          <w:b w:val="0"/>
          <w:bCs w:val="0"/>
          <w:szCs w:val="28"/>
          <w:lang w:val="en-US" w:eastAsia="zh-CN"/>
        </w:rPr>
        <w:t>7</w:t>
      </w:r>
      <w:r>
        <w:rPr>
          <w:rFonts w:hint="eastAsia" w:ascii="仿宋" w:hAnsi="仿宋" w:cs="仿宋"/>
          <w:b w:val="0"/>
          <w:bCs w:val="0"/>
          <w:szCs w:val="28"/>
        </w:rPr>
        <w:t>分，得分</w:t>
      </w:r>
      <w:r>
        <w:rPr>
          <w:rFonts w:hint="eastAsia" w:ascii="仿宋" w:hAnsi="仿宋" w:cs="仿宋"/>
          <w:b w:val="0"/>
          <w:bCs w:val="0"/>
          <w:szCs w:val="28"/>
          <w:lang w:val="en-US" w:eastAsia="zh-CN"/>
        </w:rPr>
        <w:t>7</w:t>
      </w:r>
      <w:r>
        <w:rPr>
          <w:rFonts w:hint="eastAsia" w:ascii="仿宋" w:hAnsi="仿宋" w:cs="仿宋"/>
          <w:b w:val="0"/>
          <w:bCs w:val="0"/>
          <w:szCs w:val="28"/>
        </w:rPr>
        <w:t>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2、社会效益指标</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平陆县2022年疫情防控</w:t>
      </w:r>
      <w:r>
        <w:rPr>
          <w:rFonts w:hint="eastAsia" w:ascii="仿宋" w:hAnsi="仿宋" w:cs="仿宋"/>
          <w:b w:val="0"/>
          <w:bCs w:val="0"/>
          <w:szCs w:val="28"/>
          <w:lang w:eastAsia="zh-CN"/>
        </w:rPr>
        <w:t>项目有效维持了经济运行，降低了疫情导致的失业，维护了社会稳定</w:t>
      </w:r>
      <w:r>
        <w:rPr>
          <w:rFonts w:hint="eastAsia" w:ascii="仿宋" w:hAnsi="仿宋" w:cs="仿宋"/>
          <w:b w:val="0"/>
          <w:bCs w:val="0"/>
          <w:szCs w:val="28"/>
          <w:lang w:val="en-US" w:eastAsia="zh-CN"/>
        </w:rPr>
        <w:t>。</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根据评分标准，该指标得100%权重分。</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满分10分，得分10分。</w:t>
      </w:r>
    </w:p>
    <w:p>
      <w:pPr>
        <w:numPr>
          <w:ilvl w:val="0"/>
          <w:numId w:val="0"/>
        </w:numPr>
        <w:spacing w:line="610" w:lineRule="exact"/>
        <w:ind w:firstLine="560" w:firstLineChars="200"/>
        <w:jc w:val="left"/>
        <w:rPr>
          <w:rFonts w:hint="eastAsia" w:ascii="仿宋" w:hAnsi="仿宋" w:cs="仿宋"/>
          <w:b w:val="0"/>
          <w:bCs w:val="0"/>
          <w:szCs w:val="28"/>
        </w:rPr>
      </w:pPr>
      <w:r>
        <w:rPr>
          <w:rFonts w:hint="eastAsia" w:ascii="仿宋" w:hAnsi="仿宋" w:cs="仿宋"/>
          <w:b w:val="0"/>
          <w:bCs w:val="0"/>
          <w:kern w:val="2"/>
          <w:sz w:val="28"/>
          <w:szCs w:val="28"/>
          <w:lang w:val="en-US" w:eastAsia="zh-CN" w:bidi="ar-SA"/>
        </w:rPr>
        <w:t>3</w:t>
      </w:r>
      <w:r>
        <w:rPr>
          <w:rFonts w:hint="eastAsia" w:ascii="仿宋" w:hAnsi="仿宋" w:eastAsia="仿宋" w:cs="仿宋"/>
          <w:b w:val="0"/>
          <w:bCs w:val="0"/>
          <w:kern w:val="2"/>
          <w:sz w:val="28"/>
          <w:szCs w:val="28"/>
          <w:lang w:val="en-US" w:eastAsia="zh-CN" w:bidi="ar-SA"/>
        </w:rPr>
        <w:t>、</w:t>
      </w:r>
      <w:r>
        <w:rPr>
          <w:rFonts w:hint="eastAsia" w:ascii="仿宋" w:hAnsi="仿宋" w:cs="仿宋"/>
          <w:szCs w:val="28"/>
          <w:lang w:eastAsia="zh-CN"/>
        </w:rPr>
        <w:t>生态效益</w:t>
      </w:r>
      <w:r>
        <w:rPr>
          <w:rFonts w:hint="eastAsia" w:ascii="仿宋" w:hAnsi="仿宋" w:cs="仿宋"/>
          <w:b w:val="0"/>
          <w:bCs w:val="0"/>
          <w:szCs w:val="28"/>
        </w:rPr>
        <w:t>指标</w:t>
      </w:r>
    </w:p>
    <w:p>
      <w:pPr>
        <w:numPr>
          <w:ilvl w:val="-1"/>
          <w:numId w:val="0"/>
        </w:numPr>
        <w:spacing w:line="610" w:lineRule="exact"/>
        <w:ind w:firstLine="0" w:firstLineChars="0"/>
        <w:jc w:val="left"/>
        <w:rPr>
          <w:rFonts w:hint="default" w:ascii="仿宋" w:hAnsi="仿宋" w:eastAsia="仿宋" w:cs="仿宋"/>
          <w:b w:val="0"/>
          <w:bCs w:val="0"/>
          <w:szCs w:val="28"/>
          <w:lang w:val="en-US" w:eastAsia="zh-CN"/>
        </w:rPr>
      </w:pPr>
      <w:r>
        <w:rPr>
          <w:rFonts w:hint="eastAsia" w:ascii="仿宋" w:hAnsi="仿宋" w:cs="仿宋"/>
          <w:b w:val="0"/>
          <w:bCs w:val="0"/>
          <w:szCs w:val="28"/>
          <w:lang w:val="en-US" w:eastAsia="zh-CN"/>
        </w:rPr>
        <w:t xml:space="preserve">    平陆县2022年疫情防控项目维护了平陆县生态环境的稳定，未产生由于防疫活动导致的污染及生态环境破坏。</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根据评分标准，该指标</w:t>
      </w:r>
      <w:r>
        <w:rPr>
          <w:rFonts w:hint="eastAsia" w:ascii="仿宋" w:hAnsi="仿宋" w:cs="仿宋"/>
          <w:b w:val="0"/>
          <w:bCs w:val="0"/>
          <w:szCs w:val="28"/>
          <w:lang w:eastAsia="zh-CN"/>
        </w:rPr>
        <w:t>的</w:t>
      </w:r>
      <w:r>
        <w:rPr>
          <w:rFonts w:hint="eastAsia" w:ascii="仿宋" w:hAnsi="仿宋" w:cs="仿宋"/>
          <w:b w:val="0"/>
          <w:bCs w:val="0"/>
          <w:szCs w:val="28"/>
        </w:rPr>
        <w:t>100%权重分。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满分6分，得分6分</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4、可持续性影响指标</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绩效评价人员实地勘查项目资金下达各单位，了解到，平陆县2022年疫情防控项目</w:t>
      </w:r>
      <w:r>
        <w:rPr>
          <w:rFonts w:hint="eastAsia" w:ascii="仿宋" w:hAnsi="仿宋" w:cs="仿宋"/>
          <w:szCs w:val="28"/>
        </w:rPr>
        <w:t>推进了复工复产顺利进行，将疫情产生的经济影响最小化</w:t>
      </w:r>
      <w:r>
        <w:rPr>
          <w:rFonts w:hint="eastAsia" w:ascii="仿宋" w:hAnsi="仿宋" w:cs="仿宋"/>
          <w:b w:val="0"/>
          <w:bCs w:val="0"/>
          <w:szCs w:val="28"/>
          <w:lang w:val="en-US" w:eastAsia="zh-CN"/>
        </w:rPr>
        <w:t>，有力地保障了平陆县人民的生命安全，</w:t>
      </w:r>
      <w:r>
        <w:rPr>
          <w:rFonts w:hint="eastAsia" w:ascii="仿宋" w:hAnsi="仿宋" w:cs="仿宋"/>
          <w:b w:val="0"/>
          <w:bCs w:val="0"/>
          <w:szCs w:val="28"/>
          <w:lang w:eastAsia="zh-CN"/>
        </w:rPr>
        <w:t>降低了疫情导致的失业，维护了社会稳定，但个别情况降低了项目的可持续性。</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根据评分标准，该指标得71.43%的权重分。</w:t>
      </w:r>
    </w:p>
    <w:p>
      <w:pPr>
        <w:spacing w:line="610" w:lineRule="exact"/>
        <w:ind w:firstLine="560"/>
        <w:jc w:val="left"/>
        <w:rPr>
          <w:rFonts w:hint="eastAsia" w:ascii="仿宋" w:hAnsi="仿宋" w:cs="仿宋"/>
          <w:b w:val="0"/>
          <w:bCs w:val="0"/>
          <w:szCs w:val="28"/>
          <w:lang w:val="en-US" w:eastAsia="zh-CN"/>
        </w:rPr>
      </w:pPr>
      <w:r>
        <w:rPr>
          <w:rFonts w:hint="eastAsia" w:ascii="仿宋" w:hAnsi="仿宋" w:cs="仿宋"/>
          <w:b w:val="0"/>
          <w:bCs w:val="0"/>
          <w:szCs w:val="28"/>
          <w:lang w:val="en-US" w:eastAsia="zh-CN"/>
        </w:rPr>
        <w:t>满分7分，得分5分。</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w:t>
      </w:r>
      <w:r>
        <w:rPr>
          <w:rFonts w:hint="eastAsia" w:ascii="仿宋" w:hAnsi="仿宋" w:cs="仿宋"/>
          <w:b w:val="0"/>
          <w:bCs w:val="0"/>
          <w:szCs w:val="28"/>
          <w:lang w:val="en-US" w:eastAsia="zh-CN"/>
        </w:rPr>
        <w:t>5</w:t>
      </w:r>
      <w:r>
        <w:rPr>
          <w:rFonts w:hint="eastAsia" w:ascii="仿宋" w:hAnsi="仿宋" w:cs="仿宋"/>
          <w:b w:val="0"/>
          <w:bCs w:val="0"/>
          <w:szCs w:val="28"/>
        </w:rPr>
        <w:t>）</w:t>
      </w:r>
      <w:r>
        <w:rPr>
          <w:rFonts w:hint="eastAsia" w:ascii="仿宋" w:hAnsi="仿宋" w:cs="仿宋"/>
          <w:szCs w:val="28"/>
        </w:rPr>
        <w:t>满意度</w:t>
      </w:r>
      <w:r>
        <w:rPr>
          <w:rFonts w:hint="eastAsia" w:ascii="仿宋" w:hAnsi="仿宋" w:cs="仿宋"/>
          <w:b w:val="0"/>
          <w:bCs w:val="0"/>
          <w:szCs w:val="28"/>
        </w:rPr>
        <w:t>指标分析</w:t>
      </w:r>
    </w:p>
    <w:p>
      <w:pPr>
        <w:spacing w:line="610" w:lineRule="exact"/>
        <w:ind w:firstLine="560"/>
        <w:jc w:val="left"/>
        <w:rPr>
          <w:rFonts w:hint="eastAsia" w:ascii="仿宋" w:hAnsi="仿宋" w:cs="仿宋"/>
          <w:b w:val="0"/>
          <w:bCs w:val="0"/>
          <w:szCs w:val="28"/>
        </w:rPr>
      </w:pPr>
      <w:r>
        <w:rPr>
          <w:rFonts w:hint="eastAsia" w:ascii="仿宋" w:hAnsi="仿宋" w:cs="仿宋"/>
          <w:szCs w:val="28"/>
        </w:rPr>
        <w:t>满意度指标主要从社会群众满意度方面对资金使用情况进行考察，满意度下分一个三级指标，满意度指标权重分值为5分，实际评价得5分，得分率为100%</w:t>
      </w:r>
      <w:r>
        <w:rPr>
          <w:rFonts w:hint="eastAsia" w:ascii="仿宋" w:hAnsi="仿宋" w:cs="仿宋"/>
          <w:b w:val="0"/>
          <w:bCs w:val="0"/>
          <w:szCs w:val="28"/>
        </w:rPr>
        <w:t>。</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1、社会群众满意度</w:t>
      </w:r>
    </w:p>
    <w:p>
      <w:pPr>
        <w:spacing w:line="610" w:lineRule="exact"/>
        <w:ind w:firstLine="560"/>
        <w:jc w:val="left"/>
        <w:rPr>
          <w:rFonts w:hint="eastAsia" w:ascii="仿宋" w:hAnsi="仿宋" w:cs="仿宋"/>
          <w:b w:val="0"/>
          <w:bCs w:val="0"/>
          <w:szCs w:val="28"/>
        </w:rPr>
      </w:pPr>
      <w:r>
        <w:rPr>
          <w:rFonts w:hint="eastAsia" w:ascii="仿宋" w:hAnsi="仿宋" w:cs="仿宋"/>
          <w:b w:val="0"/>
          <w:bCs w:val="0"/>
          <w:szCs w:val="28"/>
        </w:rPr>
        <w:t>绩效评价人员实地</w:t>
      </w:r>
      <w:r>
        <w:rPr>
          <w:rFonts w:hint="eastAsia" w:ascii="仿宋" w:hAnsi="仿宋" w:cs="仿宋"/>
          <w:b w:val="0"/>
          <w:bCs w:val="0"/>
          <w:szCs w:val="28"/>
          <w:lang w:eastAsia="zh-CN"/>
        </w:rPr>
        <w:t>勘察</w:t>
      </w:r>
      <w:r>
        <w:rPr>
          <w:rFonts w:hint="eastAsia" w:ascii="仿宋" w:hAnsi="仿宋" w:cs="仿宋"/>
          <w:b w:val="0"/>
          <w:bCs w:val="0"/>
          <w:szCs w:val="28"/>
        </w:rPr>
        <w:t>项目</w:t>
      </w:r>
      <w:r>
        <w:rPr>
          <w:rFonts w:hint="eastAsia" w:ascii="仿宋" w:hAnsi="仿宋" w:cs="仿宋"/>
          <w:b w:val="0"/>
          <w:bCs w:val="0"/>
          <w:szCs w:val="28"/>
          <w:lang w:eastAsia="zh-CN"/>
        </w:rPr>
        <w:t>各有关</w:t>
      </w:r>
      <w:r>
        <w:rPr>
          <w:rFonts w:hint="eastAsia" w:ascii="仿宋" w:hAnsi="仿宋" w:cs="仿宋"/>
          <w:b w:val="0"/>
          <w:bCs w:val="0"/>
          <w:szCs w:val="28"/>
        </w:rPr>
        <w:t>单位，通过问卷调查形式，发出50份调查问卷，收回30份有效调查问卷。通过综合分析对</w:t>
      </w:r>
      <w:r>
        <w:rPr>
          <w:rFonts w:hint="eastAsia" w:ascii="仿宋" w:hAnsi="仿宋" w:cs="仿宋"/>
          <w:b w:val="0"/>
          <w:bCs w:val="0"/>
          <w:szCs w:val="28"/>
          <w:lang w:eastAsia="zh-CN"/>
        </w:rPr>
        <w:t>平陆县2022年疫情防控项目资金</w:t>
      </w:r>
      <w:r>
        <w:rPr>
          <w:rFonts w:hint="eastAsia" w:ascii="仿宋" w:hAnsi="仿宋" w:cs="仿宋"/>
          <w:b w:val="0"/>
          <w:bCs w:val="0"/>
          <w:szCs w:val="28"/>
          <w:lang w:val="en-US" w:eastAsia="zh-CN"/>
        </w:rPr>
        <w:t>2022年施政满意度</w:t>
      </w:r>
      <w:r>
        <w:rPr>
          <w:rFonts w:hint="eastAsia" w:ascii="仿宋" w:hAnsi="仿宋" w:cs="仿宋"/>
          <w:b w:val="0"/>
          <w:bCs w:val="0"/>
          <w:szCs w:val="28"/>
        </w:rPr>
        <w:t>。非常满意的占</w:t>
      </w:r>
      <w:r>
        <w:rPr>
          <w:rFonts w:hint="eastAsia" w:ascii="仿宋" w:hAnsi="仿宋" w:cs="仿宋"/>
          <w:b w:val="0"/>
          <w:bCs w:val="0"/>
          <w:szCs w:val="28"/>
          <w:lang w:val="en-US" w:eastAsia="zh-CN"/>
        </w:rPr>
        <w:t>20</w:t>
      </w:r>
      <w:r>
        <w:rPr>
          <w:rFonts w:hint="eastAsia" w:ascii="仿宋" w:hAnsi="仿宋" w:cs="仿宋"/>
          <w:b w:val="0"/>
          <w:bCs w:val="0"/>
          <w:szCs w:val="28"/>
        </w:rPr>
        <w:t>.00%，比较满意占比</w:t>
      </w:r>
      <w:r>
        <w:rPr>
          <w:rFonts w:hint="eastAsia" w:ascii="仿宋" w:hAnsi="仿宋" w:cs="仿宋"/>
          <w:b w:val="0"/>
          <w:bCs w:val="0"/>
          <w:szCs w:val="28"/>
          <w:lang w:val="en-US" w:eastAsia="zh-CN"/>
        </w:rPr>
        <w:t>13.33</w:t>
      </w:r>
      <w:r>
        <w:rPr>
          <w:rFonts w:hint="eastAsia" w:ascii="仿宋" w:hAnsi="仿宋" w:cs="仿宋"/>
          <w:b w:val="0"/>
          <w:bCs w:val="0"/>
          <w:szCs w:val="28"/>
        </w:rPr>
        <w:t>%</w:t>
      </w:r>
      <w:r>
        <w:rPr>
          <w:rFonts w:hint="eastAsia" w:ascii="仿宋" w:hAnsi="仿宋" w:cs="仿宋"/>
          <w:b w:val="0"/>
          <w:bCs w:val="0"/>
          <w:szCs w:val="28"/>
          <w:lang w:eastAsia="zh-CN"/>
        </w:rPr>
        <w:t>，</w:t>
      </w:r>
      <w:r>
        <w:rPr>
          <w:rFonts w:hint="eastAsia" w:ascii="仿宋" w:hAnsi="仿宋" w:cs="仿宋"/>
          <w:b w:val="0"/>
          <w:bCs w:val="0"/>
          <w:szCs w:val="28"/>
        </w:rPr>
        <w:t>基本满意占比</w:t>
      </w:r>
      <w:r>
        <w:rPr>
          <w:rFonts w:hint="eastAsia" w:ascii="仿宋" w:hAnsi="仿宋" w:cs="仿宋"/>
          <w:b w:val="0"/>
          <w:bCs w:val="0"/>
          <w:szCs w:val="28"/>
          <w:lang w:val="en-US" w:eastAsia="zh-CN"/>
        </w:rPr>
        <w:t>66.67</w:t>
      </w:r>
      <w:r>
        <w:rPr>
          <w:rFonts w:hint="eastAsia" w:ascii="仿宋" w:hAnsi="仿宋" w:cs="仿宋"/>
          <w:b w:val="0"/>
          <w:bCs w:val="0"/>
          <w:szCs w:val="28"/>
        </w:rPr>
        <w:t>%，不太满意0%，不满意的占0%，综合评价满意度为100%，根据评分标准，该指标得100%的权重分。</w:t>
      </w:r>
    </w:p>
    <w:p>
      <w:pPr>
        <w:numPr>
          <w:ilvl w:val="-1"/>
          <w:numId w:val="0"/>
        </w:numPr>
        <w:spacing w:line="620" w:lineRule="exact"/>
        <w:ind w:firstLine="562"/>
        <w:outlineLvl w:val="9"/>
        <w:rPr>
          <w:rFonts w:ascii="仿宋" w:hAnsi="仿宋" w:cs="仿宋"/>
          <w:b/>
          <w:bCs/>
          <w:szCs w:val="28"/>
        </w:rPr>
      </w:pPr>
      <w:r>
        <w:rPr>
          <w:rFonts w:hint="eastAsia" w:ascii="仿宋" w:hAnsi="仿宋" w:cs="仿宋"/>
          <w:b w:val="0"/>
          <w:bCs w:val="0"/>
          <w:szCs w:val="28"/>
        </w:rPr>
        <w:t>满分</w:t>
      </w:r>
      <w:r>
        <w:rPr>
          <w:rFonts w:hint="eastAsia" w:ascii="仿宋" w:hAnsi="仿宋" w:cs="仿宋"/>
          <w:b w:val="0"/>
          <w:bCs w:val="0"/>
          <w:szCs w:val="28"/>
          <w:lang w:val="en-US" w:eastAsia="zh-CN"/>
        </w:rPr>
        <w:t>5</w:t>
      </w:r>
      <w:r>
        <w:rPr>
          <w:rFonts w:hint="eastAsia" w:ascii="仿宋" w:hAnsi="仿宋" w:cs="仿宋"/>
          <w:b w:val="0"/>
          <w:bCs w:val="0"/>
          <w:szCs w:val="28"/>
        </w:rPr>
        <w:t>分，得分</w:t>
      </w:r>
      <w:r>
        <w:rPr>
          <w:rFonts w:hint="eastAsia" w:ascii="仿宋" w:hAnsi="仿宋" w:cs="仿宋"/>
          <w:b w:val="0"/>
          <w:bCs w:val="0"/>
          <w:szCs w:val="28"/>
          <w:lang w:val="en-US" w:eastAsia="zh-CN"/>
        </w:rPr>
        <w:t>5</w:t>
      </w:r>
      <w:r>
        <w:rPr>
          <w:rFonts w:hint="eastAsia" w:ascii="仿宋" w:hAnsi="仿宋" w:cs="仿宋"/>
          <w:b w:val="0"/>
          <w:bCs w:val="0"/>
          <w:szCs w:val="28"/>
        </w:rPr>
        <w:t>分。</w:t>
      </w:r>
      <w:bookmarkStart w:id="43" w:name="_Toc15371"/>
    </w:p>
    <w:p>
      <w:pPr>
        <w:numPr>
          <w:ilvl w:val="0"/>
          <w:numId w:val="5"/>
        </w:numPr>
        <w:spacing w:line="600" w:lineRule="exact"/>
        <w:ind w:firstLine="562"/>
        <w:outlineLvl w:val="0"/>
        <w:rPr>
          <w:rFonts w:ascii="仿宋" w:hAnsi="仿宋" w:cs="仿宋"/>
          <w:b/>
          <w:bCs/>
          <w:szCs w:val="28"/>
        </w:rPr>
      </w:pPr>
      <w:r>
        <w:rPr>
          <w:rFonts w:hint="eastAsia" w:ascii="仿宋" w:hAnsi="仿宋" w:cs="仿宋"/>
          <w:b/>
          <w:bCs/>
          <w:szCs w:val="28"/>
        </w:rPr>
        <w:t>主要经验及做法</w:t>
      </w:r>
      <w:bookmarkEnd w:id="43"/>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1、</w:t>
      </w:r>
      <w:r>
        <w:rPr>
          <w:rFonts w:hint="eastAsia" w:ascii="仿宋" w:hAnsi="仿宋" w:cs="仿宋"/>
          <w:szCs w:val="28"/>
        </w:rPr>
        <w:t>全面落实疫情防控各项措施，紧盯重点环节、重点场所，毫不放松抓好疫情防控各项工作完善外防输入政策措施，坚持“人物同防 ”。强调加强重点时段、重点地区、重点人群疫情防控，有效防范境内疫情反弹</w:t>
      </w:r>
      <w:r>
        <w:rPr>
          <w:rFonts w:hint="eastAsia" w:ascii="仿宋" w:hAnsi="仿宋" w:cs="仿宋"/>
          <w:szCs w:val="28"/>
          <w:lang w:eastAsia="zh-CN"/>
        </w:rPr>
        <w:t>。</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2、</w:t>
      </w:r>
      <w:r>
        <w:rPr>
          <w:rFonts w:hint="eastAsia" w:ascii="仿宋" w:hAnsi="仿宋" w:cs="仿宋"/>
          <w:szCs w:val="28"/>
          <w:lang w:eastAsia="zh-CN"/>
        </w:rPr>
        <w:t>平陆县</w:t>
      </w:r>
      <w:r>
        <w:rPr>
          <w:rFonts w:hint="eastAsia" w:ascii="仿宋" w:hAnsi="仿宋" w:cs="仿宋"/>
          <w:szCs w:val="28"/>
        </w:rPr>
        <w:t>各级人民政府、财政部门和卫生健康部门坚决贯彻党中央、国务院的决策部署，始终围绕“打赢疫情防控阻击战 ”这一疫情防控中心任务，充分用好财政资金，进一步优化财政支出结构，大力盘活财政存量资金，确保疫情防控资金需要。同时，按照“急事急办、特事特办 ”的原则，有序规范组织资金调度，优先保障疫情防控资金拨付。</w:t>
      </w:r>
    </w:p>
    <w:p>
      <w:pPr>
        <w:numPr>
          <w:ilvl w:val="0"/>
          <w:numId w:val="0"/>
        </w:numPr>
        <w:spacing w:line="610" w:lineRule="exact"/>
        <w:ind w:firstLine="560"/>
        <w:jc w:val="left"/>
        <w:rPr>
          <w:rFonts w:ascii="仿宋" w:hAnsi="仿宋" w:cs="仿宋"/>
          <w:szCs w:val="28"/>
        </w:rPr>
      </w:pPr>
      <w:r>
        <w:rPr>
          <w:rFonts w:ascii="仿宋" w:hAnsi="仿宋" w:eastAsia="仿宋" w:cs="仿宋"/>
          <w:kern w:val="2"/>
          <w:sz w:val="28"/>
          <w:szCs w:val="28"/>
          <w:lang w:val="en-US" w:eastAsia="zh-CN" w:bidi="ar-SA"/>
        </w:rPr>
        <w:t>3、</w:t>
      </w:r>
      <w:r>
        <w:rPr>
          <w:rFonts w:hint="eastAsia" w:ascii="仿宋" w:hAnsi="仿宋" w:cs="仿宋"/>
          <w:szCs w:val="28"/>
          <w:lang w:eastAsia="zh-CN"/>
        </w:rPr>
        <w:t>平陆县</w:t>
      </w:r>
      <w:r>
        <w:rPr>
          <w:rFonts w:hint="eastAsia" w:ascii="仿宋" w:hAnsi="仿宋" w:cs="仿宋"/>
          <w:szCs w:val="28"/>
        </w:rPr>
        <w:t>人民政府和防疫指挥部的统一领导下，结合本地实际，及时出台相关保障政策，全面做好疫情经费保障工作。同时及时将资金拨付到各基层单位，各单位根据工作需求进行物资储备，做好疫情防控常态化准备，保障人民生命安全。</w:t>
      </w:r>
    </w:p>
    <w:p>
      <w:pPr>
        <w:numPr>
          <w:ilvl w:val="-1"/>
          <w:numId w:val="0"/>
        </w:numPr>
        <w:spacing w:line="610" w:lineRule="exact"/>
        <w:ind w:firstLine="560"/>
        <w:jc w:val="left"/>
        <w:outlineLvl w:val="9"/>
        <w:rPr>
          <w:rFonts w:ascii="仿宋" w:hAnsi="仿宋" w:cs="仿宋"/>
          <w:b/>
          <w:bCs/>
          <w:szCs w:val="28"/>
        </w:rPr>
      </w:pPr>
      <w:r>
        <w:rPr>
          <w:rFonts w:ascii="仿宋" w:hAnsi="仿宋" w:eastAsia="仿宋" w:cs="仿宋"/>
          <w:kern w:val="2"/>
          <w:sz w:val="28"/>
          <w:szCs w:val="28"/>
          <w:lang w:val="en-US" w:eastAsia="zh-CN" w:bidi="ar-SA"/>
        </w:rPr>
        <w:t>4、</w:t>
      </w:r>
      <w:r>
        <w:rPr>
          <w:rFonts w:hint="eastAsia" w:ascii="仿宋" w:hAnsi="仿宋" w:cs="仿宋"/>
          <w:szCs w:val="28"/>
        </w:rPr>
        <w:t>医疗机构“应检尽检 ”，发挥诊所、医疗机构、小医院等“哨点 ” 作用。坚持人、物和环境监测，强化医疗机构就诊人员、风险职业人群、 重点人群、重点机构等疫情监测，及时发现和报告疫情。强化病原监测，动态监测病毒变异情况，了解病毒变异对病原检测和疫苗保护效果影响。</w:t>
      </w:r>
      <w:bookmarkStart w:id="44" w:name="_Toc8389"/>
    </w:p>
    <w:p>
      <w:pPr>
        <w:numPr>
          <w:ilvl w:val="0"/>
          <w:numId w:val="5"/>
        </w:numPr>
        <w:spacing w:line="600" w:lineRule="exact"/>
        <w:ind w:firstLine="562"/>
        <w:outlineLvl w:val="0"/>
        <w:rPr>
          <w:rFonts w:ascii="仿宋" w:hAnsi="仿宋" w:cs="仿宋"/>
          <w:b/>
          <w:bCs/>
          <w:szCs w:val="28"/>
        </w:rPr>
      </w:pPr>
      <w:r>
        <w:rPr>
          <w:rFonts w:hint="eastAsia" w:ascii="仿宋" w:hAnsi="仿宋" w:cs="仿宋"/>
          <w:b/>
          <w:bCs/>
          <w:szCs w:val="28"/>
        </w:rPr>
        <w:t>存在的问题</w:t>
      </w:r>
      <w:bookmarkEnd w:id="44"/>
    </w:p>
    <w:p>
      <w:pPr>
        <w:pStyle w:val="4"/>
        <w:numPr>
          <w:ilvl w:val="0"/>
          <w:numId w:val="0"/>
        </w:numPr>
        <w:spacing w:line="360" w:lineRule="auto"/>
        <w:ind w:firstLine="560"/>
        <w:jc w:val="left"/>
        <w:rPr>
          <w:rFonts w:hint="eastAsia" w:ascii="仿宋" w:hAnsi="仿宋" w:cs="仿宋"/>
          <w:b/>
          <w:bCs/>
          <w:sz w:val="28"/>
          <w:szCs w:val="28"/>
          <w:lang w:val="en-US" w:eastAsia="zh-CN"/>
        </w:rPr>
      </w:pPr>
      <w:r>
        <w:rPr>
          <w:rFonts w:hint="eastAsia" w:ascii="仿宋" w:hAnsi="仿宋" w:cs="仿宋"/>
          <w:b/>
          <w:bCs/>
          <w:kern w:val="2"/>
          <w:sz w:val="28"/>
          <w:szCs w:val="28"/>
          <w:lang w:val="en-US" w:eastAsia="zh-CN" w:bidi="ar-SA"/>
        </w:rPr>
        <w:t xml:space="preserve">  </w:t>
      </w:r>
      <w:r>
        <w:rPr>
          <w:rFonts w:hint="eastAsia" w:ascii="仿宋" w:hAnsi="仿宋" w:cs="仿宋"/>
          <w:b/>
          <w:bCs/>
          <w:sz w:val="28"/>
          <w:szCs w:val="28"/>
          <w:lang w:val="en-US" w:eastAsia="zh-CN"/>
        </w:rPr>
        <w:t>原始凭证入账不及时</w:t>
      </w:r>
    </w:p>
    <w:p>
      <w:pPr>
        <w:spacing w:line="360" w:lineRule="auto"/>
        <w:rPr>
          <w:rFonts w:hint="eastAsia" w:ascii="仿宋" w:hAnsi="仿宋" w:cs="仿宋"/>
          <w:szCs w:val="28"/>
          <w:lang w:eastAsia="zh-CN"/>
        </w:rPr>
      </w:pPr>
      <w:r>
        <w:rPr>
          <w:rFonts w:hint="eastAsia" w:ascii="仿宋" w:hAnsi="仿宋" w:cs="仿宋"/>
          <w:kern w:val="2"/>
          <w:sz w:val="28"/>
          <w:szCs w:val="28"/>
          <w:lang w:val="en-US" w:eastAsia="zh-CN"/>
        </w:rPr>
        <w:t>（1）</w:t>
      </w:r>
      <w:r>
        <w:rPr>
          <w:rFonts w:hint="eastAsia" w:ascii="仿宋" w:hAnsi="仿宋" w:cs="仿宋"/>
          <w:szCs w:val="28"/>
        </w:rPr>
        <w:t>三门镇卫生院2022年6月18号凭证，支核酸采集费8,590.00元，该笔费用包括2021年1月-12月核酸采集费4,050.00元，2022年1月-2月核酸采集费4,540.00元，形成跨期列支，2021年业务挤占2022年费用。</w:t>
      </w:r>
    </w:p>
    <w:p>
      <w:pPr>
        <w:spacing w:line="360" w:lineRule="auto"/>
        <w:rPr>
          <w:rFonts w:hint="eastAsia" w:ascii="仿宋" w:hAnsi="仿宋" w:cs="仿宋"/>
          <w:szCs w:val="28"/>
          <w:lang w:eastAsia="zh-CN"/>
        </w:rPr>
      </w:pPr>
      <w:r>
        <w:rPr>
          <w:rFonts w:hint="eastAsia" w:ascii="仿宋" w:hAnsi="仿宋" w:cs="仿宋"/>
          <w:kern w:val="2"/>
          <w:sz w:val="28"/>
          <w:szCs w:val="28"/>
          <w:lang w:val="en-US" w:eastAsia="zh-CN"/>
        </w:rPr>
        <w:t>（2）</w:t>
      </w:r>
      <w:r>
        <w:rPr>
          <w:rFonts w:hint="eastAsia" w:ascii="仿宋" w:hAnsi="仿宋" w:cs="仿宋"/>
          <w:szCs w:val="28"/>
        </w:rPr>
        <w:t>三门镇坡底分院2022年5月11号凭证，支坡底分院防控物资18,970.00元，凭证后附国库集中支付凭证付款时间为2022年5月18日，发票开票时间为：2021年5月19日（7,230.00元）、2021年3月17日（11,740.00元），形成跨期列支，2021年业务挤占2022年费用。</w:t>
      </w:r>
    </w:p>
    <w:p>
      <w:pPr>
        <w:pStyle w:val="15"/>
        <w:spacing w:before="0" w:after="0" w:line="520" w:lineRule="exact"/>
        <w:ind w:firstLine="562"/>
        <w:jc w:val="left"/>
        <w:rPr>
          <w:rFonts w:hint="eastAsia" w:ascii="仿宋" w:hAnsi="仿宋" w:eastAsia="仿宋" w:cs="仿宋"/>
          <w:b w:val="0"/>
          <w:bCs w:val="0"/>
          <w:kern w:val="2"/>
          <w:sz w:val="28"/>
          <w:szCs w:val="28"/>
        </w:rPr>
      </w:pPr>
      <w:bookmarkStart w:id="45" w:name="_Toc19926"/>
      <w:bookmarkStart w:id="46" w:name="_Toc13557"/>
    </w:p>
    <w:p>
      <w:pPr>
        <w:pStyle w:val="15"/>
        <w:spacing w:before="0" w:after="0" w:line="520" w:lineRule="exact"/>
        <w:ind w:firstLine="562"/>
        <w:jc w:val="left"/>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pStyle w:val="15"/>
        <w:spacing w:before="0" w:after="0" w:line="520" w:lineRule="exact"/>
        <w:ind w:firstLine="562"/>
        <w:jc w:val="left"/>
        <w:rPr>
          <w:rFonts w:ascii="仿宋" w:hAnsi="仿宋" w:eastAsia="仿宋" w:cs="仿宋"/>
          <w:sz w:val="28"/>
          <w:szCs w:val="28"/>
        </w:rPr>
      </w:pPr>
      <w:r>
        <w:rPr>
          <w:rFonts w:hint="eastAsia" w:ascii="仿宋" w:hAnsi="仿宋" w:eastAsia="仿宋" w:cs="仿宋"/>
          <w:sz w:val="28"/>
          <w:szCs w:val="28"/>
        </w:rPr>
        <w:t>附件</w:t>
      </w:r>
      <w:r>
        <w:rPr>
          <w:rStyle w:val="30"/>
          <w:rFonts w:hint="eastAsia" w:ascii="仿宋" w:hAnsi="仿宋" w:eastAsia="仿宋" w:cs="仿宋"/>
          <w:sz w:val="28"/>
          <w:szCs w:val="28"/>
        </w:rPr>
        <w:t>：</w:t>
      </w:r>
      <w:bookmarkEnd w:id="45"/>
      <w:bookmarkEnd w:id="46"/>
    </w:p>
    <w:p>
      <w:pPr>
        <w:spacing w:line="520" w:lineRule="exact"/>
        <w:ind w:firstLine="1120" w:firstLineChars="400"/>
        <w:jc w:val="left"/>
        <w:rPr>
          <w:rFonts w:ascii="仿宋" w:hAnsi="仿宋" w:cs="仿宋"/>
          <w:szCs w:val="28"/>
        </w:rPr>
      </w:pPr>
      <w:r>
        <w:rPr>
          <w:rFonts w:hint="eastAsia" w:ascii="仿宋" w:hAnsi="仿宋" w:cs="仿宋"/>
          <w:szCs w:val="28"/>
        </w:rPr>
        <w:t>附件一：财政支出绩效评价指标体系</w:t>
      </w:r>
    </w:p>
    <w:p>
      <w:pPr>
        <w:spacing w:line="520" w:lineRule="exact"/>
        <w:ind w:firstLine="1120" w:firstLineChars="400"/>
        <w:jc w:val="left"/>
        <w:rPr>
          <w:rFonts w:ascii="仿宋" w:hAnsi="仿宋" w:cs="仿宋"/>
          <w:szCs w:val="28"/>
        </w:rPr>
      </w:pPr>
      <w:r>
        <w:rPr>
          <w:rFonts w:hint="eastAsia" w:ascii="仿宋" w:hAnsi="仿宋" w:cs="仿宋"/>
          <w:szCs w:val="28"/>
        </w:rPr>
        <w:t>附件二：财政支出绩效评价指标评分表</w:t>
      </w:r>
    </w:p>
    <w:p>
      <w:pPr>
        <w:spacing w:line="520" w:lineRule="exact"/>
        <w:ind w:firstLine="1120" w:firstLineChars="400"/>
        <w:jc w:val="left"/>
        <w:rPr>
          <w:rFonts w:ascii="仿宋" w:hAnsi="仿宋" w:cs="仿宋"/>
          <w:szCs w:val="28"/>
        </w:rPr>
      </w:pPr>
      <w:r>
        <w:rPr>
          <w:rFonts w:hint="eastAsia" w:ascii="仿宋" w:hAnsi="仿宋" w:cs="仿宋"/>
          <w:szCs w:val="28"/>
        </w:rPr>
        <w:t>附件三：满意度调查问卷</w:t>
      </w:r>
    </w:p>
    <w:p>
      <w:pPr>
        <w:spacing w:line="520" w:lineRule="exact"/>
        <w:ind w:firstLine="1120" w:firstLineChars="400"/>
        <w:jc w:val="left"/>
        <w:rPr>
          <w:rFonts w:hint="eastAsia" w:ascii="仿宋" w:hAnsi="仿宋" w:cs="仿宋"/>
          <w:szCs w:val="28"/>
        </w:rPr>
      </w:pPr>
      <w:r>
        <w:rPr>
          <w:rFonts w:hint="eastAsia" w:ascii="仿宋" w:hAnsi="仿宋" w:cs="仿宋"/>
          <w:szCs w:val="28"/>
        </w:rPr>
        <w:t>附件</w:t>
      </w:r>
      <w:r>
        <w:rPr>
          <w:rFonts w:hint="eastAsia" w:ascii="仿宋" w:hAnsi="仿宋" w:cs="仿宋"/>
          <w:szCs w:val="28"/>
          <w:lang w:eastAsia="zh-CN"/>
        </w:rPr>
        <w:t>四</w:t>
      </w:r>
      <w:r>
        <w:rPr>
          <w:rFonts w:hint="eastAsia" w:ascii="仿宋" w:hAnsi="仿宋" w:cs="仿宋"/>
          <w:szCs w:val="28"/>
        </w:rPr>
        <w:t>：绩效评价组情况</w:t>
      </w:r>
    </w:p>
    <w:p>
      <w:pPr>
        <w:spacing w:line="520" w:lineRule="exact"/>
        <w:ind w:firstLine="1120" w:firstLineChars="400"/>
        <w:jc w:val="left"/>
        <w:rPr>
          <w:rFonts w:hint="eastAsia" w:ascii="仿宋" w:hAnsi="仿宋" w:cs="仿宋"/>
          <w:szCs w:val="28"/>
        </w:rPr>
      </w:pPr>
      <w:r>
        <w:rPr>
          <w:rFonts w:hint="eastAsia" w:ascii="仿宋" w:hAnsi="仿宋" w:cs="仿宋"/>
          <w:szCs w:val="28"/>
        </w:rPr>
        <w:t>附件</w:t>
      </w:r>
      <w:r>
        <w:rPr>
          <w:rFonts w:hint="eastAsia" w:ascii="仿宋" w:hAnsi="仿宋" w:cs="仿宋"/>
          <w:szCs w:val="28"/>
          <w:lang w:eastAsia="zh-CN"/>
        </w:rPr>
        <w:t>五</w:t>
      </w:r>
      <w:r>
        <w:rPr>
          <w:rFonts w:hint="eastAsia" w:ascii="仿宋" w:hAnsi="仿宋" w:cs="仿宋"/>
          <w:szCs w:val="28"/>
        </w:rPr>
        <w:t>：现场勘察照片</w:t>
      </w:r>
    </w:p>
    <w:p>
      <w:pPr>
        <w:spacing w:line="520" w:lineRule="exact"/>
        <w:ind w:firstLine="1120" w:firstLineChars="400"/>
        <w:jc w:val="left"/>
        <w:rPr>
          <w:rFonts w:hint="eastAsia" w:ascii="仿宋" w:hAnsi="仿宋" w:cs="仿宋"/>
          <w:szCs w:val="28"/>
        </w:rPr>
      </w:pPr>
      <w:r>
        <w:rPr>
          <w:rFonts w:hint="eastAsia" w:ascii="仿宋" w:hAnsi="仿宋" w:cs="仿宋"/>
          <w:szCs w:val="28"/>
        </w:rPr>
        <w:t>附件六：评价机构营业执照、执业证书</w:t>
      </w: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spacing w:line="520" w:lineRule="exact"/>
        <w:ind w:firstLine="1120" w:firstLineChars="400"/>
        <w:jc w:val="left"/>
        <w:rPr>
          <w:rFonts w:hint="eastAsia" w:ascii="仿宋" w:hAnsi="仿宋" w:cs="仿宋"/>
          <w:szCs w:val="28"/>
        </w:rPr>
      </w:pPr>
    </w:p>
    <w:p>
      <w:pPr>
        <w:rPr>
          <w:rFonts w:hint="eastAsia" w:ascii="仿宋" w:hAnsi="仿宋" w:eastAsia="仿宋" w:cs="仿宋"/>
          <w:sz w:val="30"/>
          <w:szCs w:val="30"/>
        </w:rPr>
      </w:pPr>
      <w:r>
        <w:rPr>
          <w:rFonts w:hint="eastAsia" w:ascii="仿宋" w:hAnsi="仿宋" w:eastAsia="仿宋" w:cs="仿宋"/>
          <w:sz w:val="30"/>
          <w:szCs w:val="30"/>
        </w:rPr>
        <w:t>北京泛华国金会计师事务所         中国注册会计师：</w:t>
      </w:r>
    </w:p>
    <w:p>
      <w:pPr>
        <w:ind w:firstLine="1500" w:firstLineChars="500"/>
        <w:rPr>
          <w:rFonts w:hint="eastAsia" w:ascii="仿宋" w:hAnsi="仿宋" w:eastAsia="仿宋" w:cs="仿宋"/>
          <w:sz w:val="30"/>
          <w:szCs w:val="30"/>
        </w:rPr>
      </w:pPr>
      <w:r>
        <w:rPr>
          <w:rFonts w:hint="eastAsia" w:ascii="仿宋" w:hAnsi="仿宋" w:eastAsia="仿宋" w:cs="仿宋"/>
          <w:sz w:val="30"/>
          <w:szCs w:val="30"/>
        </w:rPr>
        <w:t>（普通合伙）</w:t>
      </w:r>
    </w:p>
    <w:p>
      <w:pPr>
        <w:rPr>
          <w:rFonts w:hint="eastAsia" w:ascii="仿宋" w:hAnsi="仿宋" w:eastAsia="仿宋" w:cs="仿宋"/>
          <w:sz w:val="30"/>
          <w:szCs w:val="30"/>
        </w:rPr>
      </w:pPr>
    </w:p>
    <w:p>
      <w:pPr>
        <w:ind w:firstLine="1500" w:firstLineChars="500"/>
        <w:rPr>
          <w:rFonts w:hint="eastAsia" w:ascii="仿宋" w:hAnsi="仿宋" w:eastAsia="仿宋" w:cs="仿宋"/>
          <w:sz w:val="30"/>
          <w:szCs w:val="30"/>
        </w:rPr>
      </w:pPr>
      <w:r>
        <w:rPr>
          <w:rFonts w:hint="eastAsia" w:ascii="仿宋" w:hAnsi="仿宋" w:eastAsia="仿宋" w:cs="仿宋"/>
          <w:sz w:val="30"/>
          <w:szCs w:val="30"/>
        </w:rPr>
        <w:t>中国·北京                 中国注册会计师：</w:t>
      </w:r>
    </w:p>
    <w:p>
      <w:pPr>
        <w:tabs>
          <w:tab w:val="left" w:pos="2283"/>
        </w:tabs>
        <w:jc w:val="left"/>
        <w:rPr>
          <w:rFonts w:hint="eastAsia" w:ascii="仿宋" w:hAnsi="仿宋" w:eastAsia="仿宋" w:cs="仿宋"/>
          <w:sz w:val="30"/>
          <w:szCs w:val="30"/>
        </w:rPr>
      </w:pPr>
    </w:p>
    <w:p>
      <w:pPr>
        <w:ind w:firstLine="4200" w:firstLineChars="1400"/>
        <w:rPr>
          <w:rFonts w:ascii="仿宋" w:hAnsi="仿宋" w:eastAsia="仿宋" w:cs="仿宋"/>
          <w:b/>
          <w:bCs/>
          <w:sz w:val="30"/>
          <w:szCs w:val="30"/>
        </w:rPr>
      </w:pPr>
      <w:r>
        <w:rPr>
          <w:rFonts w:hint="eastAsia" w:ascii="仿宋" w:hAnsi="仿宋" w:eastAsia="仿宋" w:cs="仿宋"/>
          <w:sz w:val="30"/>
          <w:szCs w:val="30"/>
        </w:rPr>
        <w:t>二○二</w:t>
      </w:r>
      <w:r>
        <w:rPr>
          <w:rFonts w:hint="eastAsia" w:ascii="仿宋" w:hAnsi="仿宋" w:eastAsia="仿宋" w:cs="仿宋"/>
          <w:sz w:val="30"/>
          <w:szCs w:val="30"/>
          <w:lang w:eastAsia="zh-CN"/>
        </w:rPr>
        <w:t>三</w:t>
      </w:r>
      <w:r>
        <w:rPr>
          <w:rFonts w:hint="eastAsia" w:ascii="仿宋" w:hAnsi="仿宋" w:eastAsia="仿宋" w:cs="仿宋"/>
          <w:sz w:val="30"/>
          <w:szCs w:val="30"/>
        </w:rPr>
        <w:t>年</w:t>
      </w:r>
      <w:r>
        <w:rPr>
          <w:rFonts w:hint="eastAsia" w:ascii="仿宋" w:hAnsi="仿宋" w:cs="仿宋"/>
          <w:sz w:val="30"/>
          <w:szCs w:val="30"/>
          <w:lang w:eastAsia="zh-CN"/>
        </w:rPr>
        <w:t>九</w:t>
      </w:r>
      <w:r>
        <w:rPr>
          <w:rFonts w:hint="eastAsia" w:ascii="仿宋" w:hAnsi="仿宋" w:eastAsia="仿宋" w:cs="仿宋"/>
          <w:sz w:val="30"/>
          <w:szCs w:val="30"/>
        </w:rPr>
        <w:t>月</w:t>
      </w:r>
      <w:r>
        <w:rPr>
          <w:rFonts w:hint="eastAsia" w:ascii="仿宋" w:hAnsi="仿宋" w:cs="仿宋"/>
          <w:sz w:val="30"/>
          <w:szCs w:val="30"/>
          <w:lang w:eastAsia="zh-CN"/>
        </w:rPr>
        <w:t>十五</w:t>
      </w:r>
      <w:r>
        <w:rPr>
          <w:rFonts w:hint="eastAsia" w:ascii="仿宋" w:hAnsi="仿宋" w:eastAsia="仿宋" w:cs="仿宋"/>
          <w:sz w:val="30"/>
          <w:szCs w:val="30"/>
        </w:rPr>
        <w:t>日</w:t>
      </w: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ind w:firstLine="560"/>
        <w:jc w:val="center"/>
        <w:rPr>
          <w:rFonts w:hint="eastAsia" w:ascii="仿宋" w:hAnsi="仿宋" w:cs="仿宋"/>
          <w:szCs w:val="28"/>
        </w:rPr>
      </w:pPr>
    </w:p>
    <w:p>
      <w:pPr>
        <w:spacing w:line="520" w:lineRule="exact"/>
        <w:jc w:val="both"/>
        <w:rPr>
          <w:rFonts w:hint="eastAsia" w:ascii="仿宋" w:hAnsi="仿宋" w:cs="仿宋"/>
          <w:szCs w:val="28"/>
        </w:rPr>
        <w:sectPr>
          <w:footerReference r:id="rId15" w:type="default"/>
          <w:pgSz w:w="11906" w:h="16838"/>
          <w:pgMar w:top="2098" w:right="1417" w:bottom="1984"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spacing w:line="240" w:lineRule="auto"/>
        <w:ind w:firstLine="0" w:firstLineChars="0"/>
        <w:rPr>
          <w:rFonts w:hint="eastAsia" w:ascii="仿宋" w:hAnsi="仿宋" w:cs="仿宋"/>
        </w:rPr>
      </w:pPr>
      <w:bookmarkStart w:id="47" w:name="_Toc8151"/>
    </w:p>
    <w:p>
      <w:pPr>
        <w:pStyle w:val="3"/>
        <w:spacing w:line="240" w:lineRule="auto"/>
        <w:ind w:firstLine="0" w:firstLineChars="0"/>
        <w:rPr>
          <w:rFonts w:hint="eastAsia" w:ascii="仿宋" w:hAnsi="仿宋" w:cs="仿宋"/>
        </w:rPr>
      </w:pPr>
      <w:r>
        <w:rPr>
          <w:rFonts w:hint="eastAsia" w:ascii="仿宋" w:hAnsi="仿宋" w:cs="仿宋"/>
        </w:rPr>
        <w:t>附件一：财政支出绩效评价指标体系</w:t>
      </w:r>
      <w:bookmarkEnd w:id="47"/>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5"/>
        <w:gridCol w:w="711"/>
        <w:gridCol w:w="743"/>
        <w:gridCol w:w="524"/>
        <w:gridCol w:w="1228"/>
        <w:gridCol w:w="611"/>
        <w:gridCol w:w="4569"/>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tblHeader/>
          <w:jc w:val="center"/>
        </w:trPr>
        <w:tc>
          <w:tcPr>
            <w:tcW w:w="565"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一级指标</w:t>
            </w:r>
          </w:p>
        </w:tc>
        <w:tc>
          <w:tcPr>
            <w:tcW w:w="711"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权重分值</w:t>
            </w:r>
          </w:p>
        </w:tc>
        <w:tc>
          <w:tcPr>
            <w:tcW w:w="743"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二级指标</w:t>
            </w:r>
          </w:p>
        </w:tc>
        <w:tc>
          <w:tcPr>
            <w:tcW w:w="524"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权重分值</w:t>
            </w:r>
          </w:p>
        </w:tc>
        <w:tc>
          <w:tcPr>
            <w:tcW w:w="1228"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三级指标</w:t>
            </w:r>
          </w:p>
        </w:tc>
        <w:tc>
          <w:tcPr>
            <w:tcW w:w="611" w:type="dxa"/>
            <w:noWrap w:val="0"/>
            <w:vAlign w:val="center"/>
          </w:tcPr>
          <w:p>
            <w:pPr>
              <w:widowControl/>
              <w:ind w:left="0" w:leftChars="0" w:firstLine="0" w:firstLineChars="0"/>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权重分值</w:t>
            </w:r>
          </w:p>
        </w:tc>
        <w:tc>
          <w:tcPr>
            <w:tcW w:w="4569" w:type="dxa"/>
            <w:noWrap w:val="0"/>
            <w:vAlign w:val="center"/>
          </w:tcPr>
          <w:p>
            <w:pPr>
              <w:widowControl/>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指标解释</w:t>
            </w:r>
          </w:p>
        </w:tc>
        <w:tc>
          <w:tcPr>
            <w:tcW w:w="4989" w:type="dxa"/>
            <w:noWrap w:val="0"/>
            <w:vAlign w:val="center"/>
          </w:tcPr>
          <w:p>
            <w:pPr>
              <w:widowControl/>
              <w:jc w:val="center"/>
              <w:textAlignment w:val="center"/>
              <w:rPr>
                <w:rFonts w:hint="eastAsia" w:ascii="仿宋" w:hAnsi="仿宋" w:eastAsia="仿宋" w:cs="仿宋"/>
                <w:b/>
                <w:color w:val="000000"/>
                <w:sz w:val="20"/>
                <w:szCs w:val="20"/>
                <w:highlight w:val="yellow"/>
              </w:rPr>
            </w:pPr>
            <w:r>
              <w:rPr>
                <w:rFonts w:hint="eastAsia" w:ascii="仿宋" w:hAnsi="仿宋" w:eastAsia="仿宋" w:cs="仿宋"/>
                <w:b/>
                <w:color w:val="000000"/>
                <w:kern w:val="0"/>
                <w:sz w:val="20"/>
                <w:szCs w:val="20"/>
                <w:highlight w:val="none"/>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5" w:hRule="atLeast"/>
          <w:jc w:val="center"/>
        </w:trPr>
        <w:tc>
          <w:tcPr>
            <w:tcW w:w="565"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投入</w:t>
            </w:r>
          </w:p>
        </w:tc>
        <w:tc>
          <w:tcPr>
            <w:tcW w:w="711"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15</w:t>
            </w:r>
          </w:p>
        </w:tc>
        <w:tc>
          <w:tcPr>
            <w:tcW w:w="743"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项目立项</w:t>
            </w:r>
          </w:p>
        </w:tc>
        <w:tc>
          <w:tcPr>
            <w:tcW w:w="524"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12</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立项规范性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4</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项目的申请、设立过程是否符合相关要求，用以反映和考核项目立项的规范情况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项目按照规定的程序申请设立，计1分；项目提交的文件、材料符合相关要求计1分；事前已经过必要的可行性研究、专家论证、风险评估、集体决策的，计2分。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continue"/>
            <w:noWrap w:val="0"/>
            <w:vAlign w:val="center"/>
          </w:tcPr>
          <w:p>
            <w:pPr>
              <w:jc w:val="center"/>
              <w:rPr>
                <w:rFonts w:hint="eastAsia" w:ascii="仿宋" w:hAnsi="仿宋" w:eastAsia="仿宋" w:cs="仿宋"/>
                <w:color w:val="000000"/>
                <w:sz w:val="20"/>
                <w:szCs w:val="20"/>
                <w:highlight w:val="yellow"/>
              </w:rPr>
            </w:pPr>
          </w:p>
        </w:tc>
        <w:tc>
          <w:tcPr>
            <w:tcW w:w="524" w:type="dxa"/>
            <w:vMerge w:val="continue"/>
            <w:noWrap w:val="0"/>
            <w:vAlign w:val="center"/>
          </w:tcPr>
          <w:p>
            <w:pPr>
              <w:jc w:val="center"/>
              <w:rPr>
                <w:rFonts w:hint="eastAsia" w:ascii="仿宋" w:hAnsi="仿宋" w:eastAsia="仿宋" w:cs="仿宋"/>
                <w:color w:val="000000"/>
                <w:sz w:val="20"/>
                <w:szCs w:val="20"/>
                <w:highlight w:val="yellow"/>
              </w:rPr>
            </w:pP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绩效目标合理性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8</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项目所设定的绩效目标是否依据充分，是否符合客观实际等，用以反映和考核项目绩效目标与项目实施的相符情况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符合国家相关法律法规、国民经济发展规划和党委政府决策，计2分；设定项目年度目标和绩效指标，计2分；目标和指标的设计符合目标管理规范，计2分；根据绩效目标和完成情况的对比考核目标设立的合理性，且绩效指标具有可测性，计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资金落实</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3</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资金到位率</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3</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实际到位资金与计划投入资金的比对，用以反映和考核资金落实情况对项目实施的总体保障程度</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资金到位率达100%，得满分；每少1%扣除权重的1%，扣完为止。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jc w:val="center"/>
        </w:trPr>
        <w:tc>
          <w:tcPr>
            <w:tcW w:w="565"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过程</w:t>
            </w:r>
          </w:p>
        </w:tc>
        <w:tc>
          <w:tcPr>
            <w:tcW w:w="711"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20</w:t>
            </w:r>
          </w:p>
        </w:tc>
        <w:tc>
          <w:tcPr>
            <w:tcW w:w="743"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项目管理</w:t>
            </w:r>
          </w:p>
        </w:tc>
        <w:tc>
          <w:tcPr>
            <w:tcW w:w="524"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10</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项目管理制度健全性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项目实施单位的业务管理制度是否健全，用以反映和考核业务管理制度对项目顺利实施的保障情况。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是否已制定或具有相应业务管理制度</w:t>
            </w:r>
            <w:r>
              <w:rPr>
                <w:rFonts w:hint="eastAsia" w:ascii="仿宋" w:hAnsi="仿宋" w:eastAsia="仿宋" w:cs="仿宋"/>
                <w:color w:val="000000"/>
                <w:kern w:val="0"/>
                <w:sz w:val="20"/>
                <w:szCs w:val="20"/>
                <w:highlight w:val="none"/>
                <w:lang w:eastAsia="zh-CN"/>
              </w:rPr>
              <w:t>，</w:t>
            </w:r>
            <w:r>
              <w:rPr>
                <w:rFonts w:hint="eastAsia" w:ascii="仿宋" w:hAnsi="仿宋" w:eastAsia="仿宋" w:cs="仿宋"/>
                <w:color w:val="000000"/>
                <w:kern w:val="0"/>
                <w:sz w:val="20"/>
                <w:szCs w:val="20"/>
                <w:highlight w:val="none"/>
              </w:rPr>
              <w:t>计0.5分；业务管理制度是否健全、规范、完整0.5分。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continue"/>
            <w:noWrap w:val="0"/>
            <w:vAlign w:val="center"/>
          </w:tcPr>
          <w:p>
            <w:pPr>
              <w:jc w:val="center"/>
              <w:rPr>
                <w:rFonts w:hint="eastAsia" w:ascii="仿宋" w:hAnsi="仿宋" w:eastAsia="仿宋" w:cs="仿宋"/>
                <w:color w:val="000000"/>
                <w:sz w:val="20"/>
                <w:szCs w:val="20"/>
                <w:highlight w:val="yellow"/>
              </w:rPr>
            </w:pPr>
          </w:p>
        </w:tc>
        <w:tc>
          <w:tcPr>
            <w:tcW w:w="524" w:type="dxa"/>
            <w:vMerge w:val="continue"/>
            <w:noWrap w:val="0"/>
            <w:vAlign w:val="center"/>
          </w:tcPr>
          <w:p>
            <w:pPr>
              <w:jc w:val="center"/>
              <w:rPr>
                <w:rFonts w:hint="eastAsia" w:ascii="仿宋" w:hAnsi="仿宋" w:eastAsia="仿宋" w:cs="仿宋"/>
                <w:color w:val="000000"/>
                <w:sz w:val="20"/>
                <w:szCs w:val="20"/>
                <w:highlight w:val="yellow"/>
              </w:rPr>
            </w:pP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6</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sz w:val="20"/>
                <w:szCs w:val="20"/>
                <w:highlight w:val="none"/>
              </w:rPr>
              <w:t>项目实施过程是否符合相关规定，用以反映和考核项目或方案实施程序的规范性。</w:t>
            </w:r>
          </w:p>
        </w:tc>
        <w:tc>
          <w:tcPr>
            <w:tcW w:w="4989" w:type="dxa"/>
            <w:noWrap w:val="0"/>
            <w:vAlign w:val="center"/>
          </w:tcPr>
          <w:p>
            <w:pPr>
              <w:widowControl/>
              <w:jc w:val="left"/>
              <w:textAlignment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项目或方案按规定程序实施，包括项目调整按规定履行报批手续计3分。</w:t>
            </w:r>
          </w:p>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项目管理制度</w:t>
            </w:r>
            <w:r>
              <w:rPr>
                <w:rFonts w:hint="eastAsia" w:ascii="仿宋" w:hAnsi="仿宋" w:eastAsia="仿宋" w:cs="仿宋"/>
                <w:color w:val="000000"/>
                <w:kern w:val="0"/>
                <w:sz w:val="20"/>
                <w:szCs w:val="20"/>
                <w:highlight w:val="none"/>
                <w:lang w:eastAsia="zh-CN"/>
              </w:rPr>
              <w:t>实施规范</w:t>
            </w:r>
            <w:r>
              <w:rPr>
                <w:rFonts w:hint="eastAsia" w:ascii="仿宋" w:hAnsi="仿宋" w:eastAsia="仿宋" w:cs="仿宋"/>
                <w:color w:val="000000"/>
                <w:kern w:val="0"/>
                <w:sz w:val="20"/>
                <w:szCs w:val="20"/>
                <w:highlight w:val="none"/>
              </w:rPr>
              <w:t>计3分。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continue"/>
            <w:noWrap w:val="0"/>
            <w:vAlign w:val="center"/>
          </w:tcPr>
          <w:p>
            <w:pPr>
              <w:jc w:val="center"/>
              <w:rPr>
                <w:rFonts w:hint="eastAsia" w:ascii="仿宋" w:hAnsi="仿宋" w:eastAsia="仿宋" w:cs="仿宋"/>
                <w:color w:val="000000"/>
                <w:sz w:val="20"/>
                <w:szCs w:val="20"/>
                <w:highlight w:val="yellow"/>
              </w:rPr>
            </w:pPr>
          </w:p>
        </w:tc>
        <w:tc>
          <w:tcPr>
            <w:tcW w:w="524" w:type="dxa"/>
            <w:vMerge w:val="continue"/>
            <w:noWrap w:val="0"/>
            <w:vAlign w:val="center"/>
          </w:tcPr>
          <w:p>
            <w:pPr>
              <w:jc w:val="center"/>
              <w:rPr>
                <w:rFonts w:hint="eastAsia" w:ascii="仿宋" w:hAnsi="仿宋" w:eastAsia="仿宋" w:cs="仿宋"/>
                <w:color w:val="000000"/>
                <w:sz w:val="20"/>
                <w:szCs w:val="20"/>
                <w:highlight w:val="yellow"/>
              </w:rPr>
            </w:pP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项目质量管理</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3</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项目实施单位是否对项目建设或方案实施的检查、监控、督促等管理情况，用以反映和考核项目实施单位对项目质量的控制情况。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lang w:val="en-US" w:eastAsia="zh-CN"/>
              </w:rPr>
            </w:pPr>
            <w:r>
              <w:rPr>
                <w:rFonts w:hint="eastAsia" w:ascii="仿宋" w:hAnsi="仿宋" w:eastAsia="仿宋" w:cs="仿宋"/>
                <w:color w:val="000000"/>
                <w:sz w:val="20"/>
                <w:szCs w:val="20"/>
                <w:highlight w:val="none"/>
              </w:rPr>
              <w:t>是否已制定或具有相应的 项目质量要求或标准</w:t>
            </w:r>
            <w:r>
              <w:rPr>
                <w:rFonts w:hint="eastAsia" w:ascii="仿宋" w:hAnsi="仿宋" w:eastAsia="仿宋" w:cs="仿宋"/>
                <w:color w:val="000000"/>
                <w:kern w:val="0"/>
                <w:sz w:val="20"/>
                <w:szCs w:val="20"/>
                <w:highlight w:val="none"/>
              </w:rPr>
              <w:t>计1分</w:t>
            </w:r>
            <w:r>
              <w:rPr>
                <w:rFonts w:hint="eastAsia" w:ascii="仿宋" w:hAnsi="仿宋" w:eastAsia="仿宋" w:cs="仿宋"/>
                <w:color w:val="000000"/>
                <w:sz w:val="20"/>
                <w:szCs w:val="20"/>
                <w:highlight w:val="none"/>
              </w:rPr>
              <w:t>；是否采取了相应的项目质量检查、监控、督促等必需的控制措施或手段</w:t>
            </w:r>
            <w:r>
              <w:rPr>
                <w:rFonts w:hint="eastAsia" w:ascii="仿宋" w:hAnsi="仿宋" w:eastAsia="仿宋" w:cs="仿宋"/>
                <w:color w:val="000000"/>
                <w:kern w:val="0"/>
                <w:sz w:val="20"/>
                <w:szCs w:val="20"/>
                <w:highlight w:val="none"/>
              </w:rPr>
              <w:t>计2分</w:t>
            </w:r>
            <w:r>
              <w:rPr>
                <w:rFonts w:hint="eastAsia" w:ascii="仿宋" w:hAnsi="仿宋" w:cs="仿宋"/>
                <w:color w:val="000000"/>
                <w:kern w:val="0"/>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资金管理</w:t>
            </w:r>
          </w:p>
        </w:tc>
        <w:tc>
          <w:tcPr>
            <w:tcW w:w="524"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10</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财务制度健全性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2</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项目实施单位的财务管理制度是否健全，用以反映和考核业务管理制度对项目顺利实施的保障情况。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制定或具有相应本项目的资金管理办法，计1分，</w:t>
            </w:r>
            <w:r>
              <w:rPr>
                <w:rFonts w:hint="eastAsia" w:ascii="仿宋" w:hAnsi="仿宋" w:eastAsia="仿宋" w:cs="仿宋"/>
                <w:color w:val="000000"/>
                <w:kern w:val="0"/>
                <w:sz w:val="20"/>
                <w:szCs w:val="20"/>
                <w:highlight w:val="none"/>
                <w:lang w:eastAsia="zh-CN"/>
              </w:rPr>
              <w:t>财务制度</w:t>
            </w:r>
            <w:r>
              <w:rPr>
                <w:rFonts w:hint="eastAsia" w:ascii="仿宋" w:hAnsi="仿宋" w:eastAsia="仿宋" w:cs="仿宋"/>
                <w:color w:val="000000"/>
                <w:kern w:val="0"/>
                <w:sz w:val="20"/>
                <w:szCs w:val="20"/>
                <w:highlight w:val="none"/>
              </w:rPr>
              <w:t>资金管理办法符合相关专项资金管理制度的规定，计1分。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continue"/>
            <w:noWrap w:val="0"/>
            <w:vAlign w:val="center"/>
          </w:tcPr>
          <w:p>
            <w:pPr>
              <w:jc w:val="center"/>
              <w:rPr>
                <w:rFonts w:hint="eastAsia" w:ascii="仿宋" w:hAnsi="仿宋" w:eastAsia="仿宋" w:cs="仿宋"/>
                <w:color w:val="000000"/>
                <w:sz w:val="20"/>
                <w:szCs w:val="20"/>
                <w:highlight w:val="yellow"/>
              </w:rPr>
            </w:pPr>
          </w:p>
        </w:tc>
        <w:tc>
          <w:tcPr>
            <w:tcW w:w="524" w:type="dxa"/>
            <w:vMerge w:val="continue"/>
            <w:noWrap w:val="0"/>
            <w:vAlign w:val="center"/>
          </w:tcPr>
          <w:p>
            <w:pPr>
              <w:jc w:val="center"/>
              <w:rPr>
                <w:rFonts w:hint="eastAsia" w:ascii="仿宋" w:hAnsi="仿宋" w:eastAsia="仿宋" w:cs="仿宋"/>
                <w:color w:val="000000"/>
                <w:sz w:val="20"/>
                <w:szCs w:val="20"/>
                <w:highlight w:val="yellow"/>
              </w:rPr>
            </w:pP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资金使用合规性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5</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项目资金使用是否符合相关的财务管理制度规定，用以反映和考核项目资金的规范运行情况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资金使用符合国家财经法规和财务管理制度以及有关专项资金管理办法的规定，计1分；会计核算规范、设有分项目</w:t>
            </w:r>
            <w:r>
              <w:rPr>
                <w:rFonts w:hint="eastAsia" w:ascii="仿宋" w:hAnsi="仿宋" w:eastAsia="仿宋" w:cs="仿宋"/>
                <w:color w:val="000000"/>
                <w:kern w:val="0"/>
                <w:sz w:val="20"/>
                <w:szCs w:val="20"/>
                <w:highlight w:val="none"/>
                <w:lang w:eastAsia="zh-CN"/>
              </w:rPr>
              <w:t>专账</w:t>
            </w:r>
            <w:r>
              <w:rPr>
                <w:rFonts w:hint="eastAsia" w:ascii="仿宋" w:hAnsi="仿宋" w:eastAsia="仿宋" w:cs="仿宋"/>
                <w:color w:val="000000"/>
                <w:kern w:val="0"/>
                <w:sz w:val="20"/>
                <w:szCs w:val="20"/>
                <w:highlight w:val="none"/>
              </w:rPr>
              <w:t>、专款专用</w:t>
            </w:r>
            <w:r>
              <w:rPr>
                <w:rFonts w:hint="eastAsia" w:ascii="仿宋" w:hAnsi="仿宋" w:eastAsia="仿宋" w:cs="仿宋"/>
                <w:color w:val="000000"/>
                <w:kern w:val="0"/>
                <w:sz w:val="20"/>
                <w:szCs w:val="20"/>
                <w:highlight w:val="none"/>
                <w:lang w:eastAsia="zh-CN"/>
              </w:rPr>
              <w:t>且</w:t>
            </w:r>
            <w:r>
              <w:rPr>
                <w:rFonts w:hint="eastAsia" w:ascii="仿宋" w:hAnsi="仿宋" w:eastAsia="仿宋" w:cs="仿宋"/>
                <w:color w:val="000000"/>
                <w:kern w:val="0"/>
                <w:sz w:val="20"/>
                <w:szCs w:val="20"/>
                <w:highlight w:val="none"/>
              </w:rPr>
              <w:t>能与其他资金区分开，计1分；资金的拨付有完整的审批程序和手续，且项目的重大开支经过评估认证，计1分；符合项目预算批复</w:t>
            </w:r>
            <w:r>
              <w:rPr>
                <w:rFonts w:hint="eastAsia" w:ascii="仿宋" w:hAnsi="仿宋" w:eastAsia="仿宋" w:cs="仿宋"/>
                <w:color w:val="000000"/>
                <w:kern w:val="0"/>
                <w:sz w:val="20"/>
                <w:szCs w:val="20"/>
                <w:highlight w:val="none"/>
                <w:lang w:eastAsia="zh-CN"/>
              </w:rPr>
              <w:t>、</w:t>
            </w:r>
            <w:r>
              <w:rPr>
                <w:rFonts w:hint="eastAsia" w:ascii="仿宋" w:hAnsi="仿宋" w:eastAsia="仿宋" w:cs="仿宋"/>
                <w:color w:val="000000"/>
                <w:kern w:val="0"/>
                <w:sz w:val="20"/>
                <w:szCs w:val="20"/>
                <w:highlight w:val="none"/>
              </w:rPr>
              <w:t>合同规定，计1分；不存在截留、挤占、挪用、虚列支出等情况，计1分。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vMerge w:val="continue"/>
            <w:noWrap w:val="0"/>
            <w:vAlign w:val="center"/>
          </w:tcPr>
          <w:p>
            <w:pPr>
              <w:jc w:val="center"/>
              <w:rPr>
                <w:rFonts w:hint="eastAsia" w:ascii="仿宋" w:hAnsi="仿宋" w:eastAsia="仿宋" w:cs="仿宋"/>
                <w:color w:val="000000"/>
                <w:sz w:val="20"/>
                <w:szCs w:val="20"/>
                <w:highlight w:val="yellow"/>
              </w:rPr>
            </w:pPr>
          </w:p>
        </w:tc>
        <w:tc>
          <w:tcPr>
            <w:tcW w:w="524" w:type="dxa"/>
            <w:vMerge w:val="continue"/>
            <w:noWrap w:val="0"/>
            <w:vAlign w:val="center"/>
          </w:tcPr>
          <w:p>
            <w:pPr>
              <w:jc w:val="center"/>
              <w:rPr>
                <w:rFonts w:hint="eastAsia" w:ascii="仿宋" w:hAnsi="仿宋" w:eastAsia="仿宋" w:cs="仿宋"/>
                <w:color w:val="000000"/>
                <w:sz w:val="20"/>
                <w:szCs w:val="20"/>
                <w:highlight w:val="yellow"/>
              </w:rPr>
            </w:pP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财务监控的有效性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3</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项目实施单位是否为保障资金的安全、规范运行而采取了必要的监控措施，用以反映和考核项目实施单位对资金运行的控制情况。</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已制定或具有相应的监控机制，计1分，对项目财务进行监控的，计1分，开展了财务审计或专项检查的计1分。一个项目有一项执行不到位扣</w:t>
            </w:r>
            <w:r>
              <w:rPr>
                <w:rFonts w:hint="eastAsia" w:ascii="仿宋" w:hAnsi="仿宋" w:eastAsia="仿宋" w:cs="仿宋"/>
                <w:color w:val="000000"/>
                <w:kern w:val="0"/>
                <w:sz w:val="20"/>
                <w:szCs w:val="20"/>
                <w:highlight w:val="none"/>
                <w:lang w:val="en-US" w:eastAsia="zh-CN"/>
              </w:rPr>
              <w:t>1</w:t>
            </w:r>
            <w:r>
              <w:rPr>
                <w:rFonts w:hint="eastAsia" w:ascii="仿宋" w:hAnsi="仿宋" w:eastAsia="仿宋" w:cs="仿宋"/>
                <w:color w:val="000000"/>
                <w:kern w:val="0"/>
                <w:sz w:val="20"/>
                <w:szCs w:val="20"/>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565"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产出</w:t>
            </w:r>
          </w:p>
        </w:tc>
        <w:tc>
          <w:tcPr>
            <w:tcW w:w="711"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val="en-US" w:eastAsia="zh-CN"/>
              </w:rPr>
            </w:pPr>
            <w:r>
              <w:rPr>
                <w:rFonts w:hint="eastAsia" w:ascii="仿宋" w:hAnsi="仿宋" w:eastAsia="仿宋" w:cs="仿宋"/>
                <w:color w:val="000000"/>
                <w:kern w:val="0"/>
                <w:sz w:val="20"/>
                <w:szCs w:val="20"/>
                <w:highlight w:val="none"/>
                <w:lang w:val="en-US" w:eastAsia="zh-CN"/>
              </w:rPr>
              <w:t>30</w:t>
            </w: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完成数量</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产出实际完成率</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项目实施的实际产出数与计划产出数的比率，用以反映和考核项目产出数量目标的实现程度。</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项目实施的实际产出数与计划产出数的比率，完成率达到100%，计</w:t>
            </w:r>
            <w:r>
              <w:rPr>
                <w:rFonts w:hint="eastAsia" w:ascii="仿宋" w:hAnsi="仿宋" w:eastAsia="仿宋" w:cs="仿宋"/>
                <w:color w:val="000000"/>
                <w:kern w:val="0"/>
                <w:sz w:val="20"/>
                <w:szCs w:val="20"/>
                <w:highlight w:val="none"/>
                <w:lang w:val="en-US" w:eastAsia="zh-CN"/>
              </w:rPr>
              <w:t>7</w:t>
            </w:r>
            <w:r>
              <w:rPr>
                <w:rFonts w:hint="eastAsia" w:ascii="仿宋" w:hAnsi="仿宋" w:eastAsia="仿宋" w:cs="仿宋"/>
                <w:color w:val="000000"/>
                <w:kern w:val="0"/>
                <w:sz w:val="20"/>
                <w:szCs w:val="20"/>
                <w:highlight w:val="none"/>
              </w:rPr>
              <w:t>分，每少1%扣除权重的1%，扣完为止。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完成时效</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完成及时性</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项目实际完成时间与计划完成时间的比对，用以反映和考核项目产出时效目标的实现程度。</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项目在规定时间内</w:t>
            </w:r>
            <w:r>
              <w:rPr>
                <w:rFonts w:hint="eastAsia" w:ascii="仿宋" w:hAnsi="仿宋" w:cs="仿宋"/>
                <w:color w:val="000000"/>
                <w:kern w:val="0"/>
                <w:sz w:val="20"/>
                <w:szCs w:val="20"/>
                <w:highlight w:val="none"/>
                <w:lang w:eastAsia="zh-CN"/>
              </w:rPr>
              <w:t>完成</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7</w:t>
            </w:r>
            <w:r>
              <w:rPr>
                <w:rFonts w:hint="eastAsia" w:ascii="仿宋" w:hAnsi="仿宋" w:eastAsia="仿宋" w:cs="仿宋"/>
                <w:color w:val="000000"/>
                <w:kern w:val="0"/>
                <w:sz w:val="20"/>
                <w:szCs w:val="20"/>
                <w:highlight w:val="none"/>
              </w:rPr>
              <w:t>分；在规定时间内完</w:t>
            </w:r>
            <w:r>
              <w:rPr>
                <w:rFonts w:hint="eastAsia" w:ascii="仿宋" w:hAnsi="仿宋" w:cs="仿宋"/>
                <w:color w:val="000000"/>
                <w:kern w:val="0"/>
                <w:sz w:val="20"/>
                <w:szCs w:val="20"/>
                <w:highlight w:val="none"/>
                <w:lang w:eastAsia="zh-CN"/>
              </w:rPr>
              <w:t>成</w:t>
            </w:r>
            <w:r>
              <w:rPr>
                <w:rFonts w:hint="eastAsia" w:ascii="仿宋" w:hAnsi="仿宋" w:eastAsia="仿宋" w:cs="仿宋"/>
                <w:color w:val="000000"/>
                <w:kern w:val="0"/>
                <w:sz w:val="20"/>
                <w:szCs w:val="20"/>
                <w:highlight w:val="none"/>
              </w:rPr>
              <w:t>，但未验收，计4分；有一个项目未在规定时间内开完工，扣</w:t>
            </w:r>
            <w:r>
              <w:rPr>
                <w:rFonts w:hint="eastAsia" w:ascii="仿宋" w:hAnsi="仿宋" w:eastAsia="仿宋" w:cs="仿宋"/>
                <w:color w:val="000000"/>
                <w:kern w:val="0"/>
                <w:sz w:val="20"/>
                <w:szCs w:val="20"/>
                <w:highlight w:val="none"/>
                <w:lang w:val="en-US" w:eastAsia="zh-CN"/>
              </w:rPr>
              <w:t>1</w:t>
            </w:r>
            <w:r>
              <w:rPr>
                <w:rFonts w:hint="eastAsia" w:ascii="仿宋" w:hAnsi="仿宋" w:eastAsia="仿宋" w:cs="仿宋"/>
                <w:color w:val="000000"/>
                <w:kern w:val="0"/>
                <w:sz w:val="20"/>
                <w:szCs w:val="20"/>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质量指标</w:t>
            </w:r>
          </w:p>
        </w:tc>
        <w:tc>
          <w:tcPr>
            <w:tcW w:w="524" w:type="dxa"/>
            <w:noWrap w:val="0"/>
            <w:vAlign w:val="center"/>
          </w:tcPr>
          <w:p>
            <w:pPr>
              <w:widowControl/>
              <w:ind w:left="0" w:leftChars="0" w:firstLine="0" w:firstLineChars="0"/>
              <w:jc w:val="center"/>
              <w:textAlignment w:val="center"/>
              <w:rPr>
                <w:rFonts w:hint="default" w:ascii="仿宋" w:hAnsi="仿宋" w:eastAsia="仿宋" w:cs="仿宋"/>
                <w:color w:val="000000"/>
                <w:sz w:val="20"/>
                <w:szCs w:val="20"/>
                <w:highlight w:val="yellow"/>
                <w:lang w:val="en-US" w:eastAsia="zh-CN"/>
              </w:rPr>
            </w:pPr>
            <w:r>
              <w:rPr>
                <w:rFonts w:hint="eastAsia" w:ascii="仿宋" w:hAnsi="仿宋" w:eastAsia="仿宋" w:cs="仿宋"/>
                <w:color w:val="000000"/>
                <w:kern w:val="0"/>
                <w:sz w:val="20"/>
                <w:szCs w:val="20"/>
                <w:highlight w:val="none"/>
                <w:lang w:val="en-US" w:eastAsia="zh-CN"/>
              </w:rPr>
              <w:t>8</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lang w:eastAsia="zh-CN"/>
              </w:rPr>
              <w:t>完成质量达标率</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8</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rPr>
              <w:t>项目完成的质量达标产出数与实际产出数的比较，用以反映和考核项目产出质量目标的实现程度</w:t>
            </w:r>
            <w:r>
              <w:rPr>
                <w:rFonts w:hint="eastAsia" w:ascii="仿宋" w:hAnsi="仿宋" w:cs="仿宋"/>
                <w:color w:val="000000"/>
                <w:kern w:val="0"/>
                <w:sz w:val="20"/>
                <w:szCs w:val="20"/>
                <w:highlight w:val="none"/>
                <w:lang w:eastAsia="zh-CN"/>
              </w:rPr>
              <w:t>。</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lang w:eastAsia="zh-CN"/>
              </w:rPr>
              <w:t>项目</w:t>
            </w:r>
            <w:r>
              <w:rPr>
                <w:rFonts w:hint="eastAsia" w:ascii="仿宋" w:hAnsi="仿宋" w:eastAsia="仿宋" w:cs="仿宋"/>
                <w:color w:val="000000"/>
                <w:kern w:val="0"/>
                <w:sz w:val="20"/>
                <w:szCs w:val="20"/>
                <w:highlight w:val="none"/>
              </w:rPr>
              <w:t>总体质量满足</w:t>
            </w:r>
            <w:r>
              <w:rPr>
                <w:rFonts w:hint="eastAsia" w:ascii="仿宋" w:hAnsi="仿宋" w:eastAsia="仿宋" w:cs="仿宋"/>
                <w:color w:val="000000"/>
                <w:kern w:val="0"/>
                <w:sz w:val="20"/>
                <w:szCs w:val="20"/>
                <w:highlight w:val="none"/>
                <w:lang w:eastAsia="zh-CN"/>
              </w:rPr>
              <w:t>预定</w:t>
            </w:r>
            <w:r>
              <w:rPr>
                <w:rFonts w:hint="eastAsia" w:ascii="仿宋" w:hAnsi="仿宋" w:eastAsia="仿宋" w:cs="仿宋"/>
                <w:color w:val="000000"/>
                <w:kern w:val="0"/>
                <w:sz w:val="20"/>
                <w:szCs w:val="20"/>
                <w:highlight w:val="none"/>
              </w:rPr>
              <w:t>要求，资料齐全，综合评定为合格，计</w:t>
            </w:r>
            <w:r>
              <w:rPr>
                <w:rFonts w:hint="eastAsia" w:ascii="仿宋" w:hAnsi="仿宋" w:eastAsia="仿宋" w:cs="仿宋"/>
                <w:color w:val="000000"/>
                <w:kern w:val="0"/>
                <w:sz w:val="20"/>
                <w:szCs w:val="20"/>
                <w:highlight w:val="none"/>
                <w:lang w:val="en-US" w:eastAsia="zh-CN"/>
              </w:rPr>
              <w:t>4</w:t>
            </w:r>
            <w:r>
              <w:rPr>
                <w:rFonts w:hint="eastAsia" w:ascii="仿宋" w:hAnsi="仿宋" w:eastAsia="仿宋" w:cs="仿宋"/>
                <w:color w:val="000000"/>
                <w:kern w:val="0"/>
                <w:sz w:val="20"/>
                <w:szCs w:val="20"/>
                <w:highlight w:val="none"/>
              </w:rPr>
              <w:t>分；总体质量满足</w:t>
            </w:r>
            <w:r>
              <w:rPr>
                <w:rFonts w:hint="eastAsia" w:ascii="仿宋" w:hAnsi="仿宋" w:eastAsia="仿宋" w:cs="仿宋"/>
                <w:color w:val="000000"/>
                <w:kern w:val="0"/>
                <w:sz w:val="20"/>
                <w:szCs w:val="20"/>
                <w:highlight w:val="none"/>
                <w:lang w:eastAsia="zh-CN"/>
              </w:rPr>
              <w:t>预定</w:t>
            </w:r>
            <w:r>
              <w:rPr>
                <w:rFonts w:hint="eastAsia" w:ascii="仿宋" w:hAnsi="仿宋" w:eastAsia="仿宋" w:cs="仿宋"/>
                <w:color w:val="000000"/>
                <w:kern w:val="0"/>
                <w:sz w:val="20"/>
                <w:szCs w:val="20"/>
                <w:highlight w:val="none"/>
              </w:rPr>
              <w:t>要求，评定合格但资料不齐全，但有关键资料，计2分，不合格得0分。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成本控制</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8</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成本管理情况</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8</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完成项目计划工作目标的实际节约成本，用以反映和考核项目的成本节约程度。</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资金使用率≤100%计</w:t>
            </w:r>
            <w:r>
              <w:rPr>
                <w:rFonts w:hint="eastAsia" w:ascii="仿宋" w:hAnsi="仿宋" w:eastAsia="仿宋" w:cs="仿宋"/>
                <w:color w:val="000000"/>
                <w:kern w:val="0"/>
                <w:sz w:val="20"/>
                <w:szCs w:val="20"/>
                <w:highlight w:val="none"/>
                <w:lang w:val="en-US" w:eastAsia="zh-CN"/>
              </w:rPr>
              <w:t>8</w:t>
            </w:r>
            <w:r>
              <w:rPr>
                <w:rFonts w:hint="eastAsia" w:ascii="仿宋" w:hAnsi="仿宋" w:eastAsia="仿宋" w:cs="仿宋"/>
                <w:color w:val="000000"/>
                <w:kern w:val="0"/>
                <w:sz w:val="20"/>
                <w:szCs w:val="20"/>
                <w:highlight w:val="none"/>
              </w:rPr>
              <w:t>分，超过部分按超过比例扣除相应的权重分，扣完为止。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8" w:hRule="atLeast"/>
          <w:jc w:val="center"/>
        </w:trPr>
        <w:tc>
          <w:tcPr>
            <w:tcW w:w="565"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效益</w:t>
            </w:r>
          </w:p>
        </w:tc>
        <w:tc>
          <w:tcPr>
            <w:tcW w:w="711" w:type="dxa"/>
            <w:vMerge w:val="restart"/>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30</w:t>
            </w: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eastAsia="zh-CN"/>
              </w:rPr>
              <w:t>经济效益</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sz w:val="20"/>
                <w:szCs w:val="20"/>
                <w:highlight w:val="none"/>
                <w:lang w:eastAsia="zh-CN"/>
              </w:rPr>
              <w:t>推进复工复产，降低疫情影响</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val="en-US" w:eastAsia="zh-CN"/>
              </w:rPr>
              <w:t>7</w:t>
            </w:r>
          </w:p>
        </w:tc>
        <w:tc>
          <w:tcPr>
            <w:tcW w:w="456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项目实施对项目区所带来的直接或间接影响情况。</w:t>
            </w:r>
          </w:p>
        </w:tc>
        <w:tc>
          <w:tcPr>
            <w:tcW w:w="498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项目实施是否</w:t>
            </w:r>
            <w:r>
              <w:rPr>
                <w:rFonts w:hint="eastAsia" w:ascii="仿宋" w:hAnsi="仿宋" w:eastAsia="仿宋" w:cs="仿宋"/>
                <w:color w:val="000000"/>
                <w:kern w:val="0"/>
                <w:sz w:val="20"/>
                <w:szCs w:val="20"/>
                <w:highlight w:val="none"/>
                <w:lang w:eastAsia="zh-CN"/>
              </w:rPr>
              <w:t>使项目推进复工复产；</w:t>
            </w:r>
            <w:r>
              <w:rPr>
                <w:rFonts w:hint="eastAsia" w:ascii="仿宋" w:hAnsi="仿宋" w:eastAsia="仿宋" w:cs="仿宋"/>
                <w:color w:val="000000"/>
                <w:sz w:val="20"/>
                <w:szCs w:val="20"/>
                <w:highlight w:val="none"/>
                <w:lang w:eastAsia="zh-CN"/>
              </w:rPr>
              <w:t>降低疫情影响</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7</w:t>
            </w:r>
            <w:r>
              <w:rPr>
                <w:rFonts w:hint="eastAsia" w:ascii="仿宋" w:hAnsi="仿宋" w:eastAsia="仿宋" w:cs="仿宋"/>
                <w:color w:val="000000"/>
                <w:kern w:val="0"/>
                <w:sz w:val="20"/>
                <w:szCs w:val="20"/>
                <w:highlight w:val="none"/>
              </w:rPr>
              <w:t>分，否则计0分。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9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lang w:eastAsia="zh-CN"/>
              </w:rPr>
            </w:pPr>
            <w:r>
              <w:rPr>
                <w:rFonts w:hint="eastAsia" w:ascii="仿宋" w:hAnsi="仿宋" w:eastAsia="仿宋" w:cs="仿宋"/>
                <w:color w:val="000000"/>
                <w:kern w:val="0"/>
                <w:sz w:val="20"/>
                <w:szCs w:val="20"/>
                <w:highlight w:val="none"/>
                <w:lang w:eastAsia="zh-CN"/>
              </w:rPr>
              <w:t>社会效益</w:t>
            </w:r>
          </w:p>
        </w:tc>
        <w:tc>
          <w:tcPr>
            <w:tcW w:w="524" w:type="dxa"/>
            <w:noWrap w:val="0"/>
            <w:vAlign w:val="center"/>
          </w:tcPr>
          <w:p>
            <w:pPr>
              <w:widowControl/>
              <w:ind w:left="0" w:leftChars="0" w:firstLine="0" w:firstLineChars="0"/>
              <w:jc w:val="center"/>
              <w:textAlignment w:val="center"/>
              <w:rPr>
                <w:rFonts w:hint="default" w:ascii="仿宋" w:hAnsi="仿宋" w:eastAsia="仿宋" w:cs="仿宋"/>
                <w:color w:val="000000"/>
                <w:sz w:val="20"/>
                <w:szCs w:val="20"/>
                <w:highlight w:val="yellow"/>
                <w:lang w:val="en-US" w:eastAsia="zh-CN"/>
              </w:rPr>
            </w:pPr>
            <w:r>
              <w:rPr>
                <w:rFonts w:hint="eastAsia" w:ascii="仿宋" w:hAnsi="仿宋" w:eastAsia="仿宋" w:cs="仿宋"/>
                <w:color w:val="000000"/>
                <w:kern w:val="0"/>
                <w:sz w:val="20"/>
                <w:szCs w:val="20"/>
                <w:highlight w:val="none"/>
                <w:lang w:val="en-US" w:eastAsia="zh-CN"/>
              </w:rPr>
              <w:t>10</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sz w:val="20"/>
                <w:szCs w:val="20"/>
                <w:highlight w:val="none"/>
                <w:lang w:eastAsia="zh-CN"/>
              </w:rPr>
              <w:t>维持了经济运行，降低失业，维护社会稳定</w:t>
            </w:r>
          </w:p>
        </w:tc>
        <w:tc>
          <w:tcPr>
            <w:tcW w:w="611" w:type="dxa"/>
            <w:noWrap w:val="0"/>
            <w:vAlign w:val="center"/>
          </w:tcPr>
          <w:p>
            <w:pPr>
              <w:widowControl/>
              <w:ind w:left="0" w:leftChars="0" w:firstLine="0" w:firstLineChars="0"/>
              <w:jc w:val="center"/>
              <w:textAlignment w:val="center"/>
              <w:rPr>
                <w:rFonts w:hint="default" w:ascii="仿宋" w:hAnsi="仿宋" w:eastAsia="仿宋" w:cs="仿宋"/>
                <w:color w:val="000000"/>
                <w:sz w:val="20"/>
                <w:szCs w:val="20"/>
                <w:highlight w:val="yellow"/>
                <w:lang w:val="en-US" w:eastAsia="zh-CN"/>
              </w:rPr>
            </w:pPr>
            <w:r>
              <w:rPr>
                <w:rFonts w:hint="eastAsia" w:ascii="仿宋" w:hAnsi="仿宋" w:eastAsia="仿宋" w:cs="仿宋"/>
                <w:color w:val="000000"/>
                <w:kern w:val="0"/>
                <w:sz w:val="20"/>
                <w:szCs w:val="20"/>
                <w:highlight w:val="none"/>
                <w:lang w:val="en-US" w:eastAsia="zh-CN"/>
              </w:rPr>
              <w:t>10</w:t>
            </w:r>
          </w:p>
        </w:tc>
        <w:tc>
          <w:tcPr>
            <w:tcW w:w="456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lang w:eastAsia="zh-CN"/>
              </w:rPr>
              <w:t>维持经济运行，降低失业，维护社会稳定</w:t>
            </w:r>
            <w:r>
              <w:rPr>
                <w:rFonts w:hint="eastAsia" w:ascii="仿宋" w:hAnsi="仿宋" w:eastAsia="仿宋" w:cs="仿宋"/>
                <w:color w:val="000000"/>
                <w:kern w:val="0"/>
                <w:sz w:val="20"/>
                <w:szCs w:val="20"/>
                <w:highlight w:val="none"/>
              </w:rPr>
              <w:t>。</w:t>
            </w:r>
          </w:p>
        </w:tc>
        <w:tc>
          <w:tcPr>
            <w:tcW w:w="4989" w:type="dxa"/>
            <w:noWrap w:val="0"/>
            <w:vAlign w:val="center"/>
          </w:tcPr>
          <w:p>
            <w:pPr>
              <w:widowControl/>
              <w:jc w:val="left"/>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项目实施后，</w:t>
            </w:r>
            <w:r>
              <w:rPr>
                <w:rFonts w:hint="eastAsia" w:ascii="仿宋" w:hAnsi="仿宋" w:eastAsia="仿宋" w:cs="仿宋"/>
                <w:color w:val="000000"/>
                <w:kern w:val="0"/>
                <w:sz w:val="20"/>
                <w:szCs w:val="20"/>
                <w:highlight w:val="none"/>
                <w:lang w:eastAsia="zh-CN"/>
              </w:rPr>
              <w:t>维持了经济发展</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5</w:t>
            </w:r>
            <w:r>
              <w:rPr>
                <w:rFonts w:hint="eastAsia" w:ascii="仿宋" w:hAnsi="仿宋" w:eastAsia="仿宋" w:cs="仿宋"/>
                <w:color w:val="000000"/>
                <w:kern w:val="0"/>
                <w:sz w:val="20"/>
                <w:szCs w:val="20"/>
                <w:highlight w:val="none"/>
              </w:rPr>
              <w:t>分；</w:t>
            </w:r>
            <w:r>
              <w:rPr>
                <w:rFonts w:hint="eastAsia" w:ascii="仿宋" w:hAnsi="仿宋" w:eastAsia="仿宋" w:cs="仿宋"/>
                <w:color w:val="000000"/>
                <w:kern w:val="0"/>
                <w:sz w:val="20"/>
                <w:szCs w:val="20"/>
                <w:highlight w:val="none"/>
                <w:lang w:eastAsia="zh-CN"/>
              </w:rPr>
              <w:t>降低失业，维护社会稳定</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5</w:t>
            </w:r>
            <w:r>
              <w:rPr>
                <w:rFonts w:hint="eastAsia" w:ascii="仿宋" w:hAnsi="仿宋" w:eastAsia="仿宋" w:cs="仿宋"/>
                <w:color w:val="000000"/>
                <w:kern w:val="0"/>
                <w:sz w:val="20"/>
                <w:szCs w:val="20"/>
                <w:highlight w:val="none"/>
              </w:rPr>
              <w:t>分，否则计0分。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9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eastAsia="zh-CN"/>
              </w:rPr>
            </w:pPr>
            <w:r>
              <w:rPr>
                <w:rFonts w:hint="eastAsia" w:ascii="仿宋" w:hAnsi="仿宋" w:eastAsia="仿宋" w:cs="仿宋"/>
                <w:color w:val="000000"/>
                <w:kern w:val="0"/>
                <w:sz w:val="20"/>
                <w:szCs w:val="20"/>
                <w:highlight w:val="none"/>
                <w:lang w:eastAsia="zh-CN"/>
              </w:rPr>
              <w:t>生态效益</w:t>
            </w: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val="en-US" w:eastAsia="zh-CN"/>
              </w:rPr>
            </w:pPr>
            <w:r>
              <w:rPr>
                <w:rFonts w:hint="eastAsia" w:ascii="仿宋" w:hAnsi="仿宋" w:eastAsia="仿宋" w:cs="仿宋"/>
                <w:color w:val="000000"/>
                <w:kern w:val="0"/>
                <w:sz w:val="20"/>
                <w:szCs w:val="20"/>
                <w:highlight w:val="none"/>
                <w:lang w:val="en-US" w:eastAsia="zh-CN"/>
              </w:rPr>
              <w:t>6</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eastAsia="zh-CN"/>
              </w:rPr>
            </w:pPr>
            <w:r>
              <w:rPr>
                <w:rFonts w:hint="eastAsia" w:ascii="仿宋" w:hAnsi="仿宋" w:eastAsia="仿宋" w:cs="仿宋"/>
                <w:color w:val="000000"/>
                <w:sz w:val="20"/>
                <w:szCs w:val="20"/>
                <w:highlight w:val="none"/>
                <w:lang w:eastAsia="zh-CN"/>
              </w:rPr>
              <w:t>维护生态环境稳定，未产生生态污染</w:t>
            </w: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val="en-US" w:eastAsia="zh-CN"/>
              </w:rPr>
            </w:pPr>
            <w:r>
              <w:rPr>
                <w:rFonts w:hint="eastAsia" w:ascii="仿宋" w:hAnsi="仿宋" w:eastAsia="仿宋" w:cs="仿宋"/>
                <w:color w:val="000000"/>
                <w:kern w:val="0"/>
                <w:sz w:val="20"/>
                <w:szCs w:val="20"/>
                <w:highlight w:val="none"/>
                <w:lang w:val="en-US" w:eastAsia="zh-CN"/>
              </w:rPr>
              <w:t>6</w:t>
            </w:r>
          </w:p>
        </w:tc>
        <w:tc>
          <w:tcPr>
            <w:tcW w:w="456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lang w:eastAsia="zh-CN"/>
              </w:rPr>
              <w:t>项目实施对周边环境及生态效益产生的影响</w:t>
            </w:r>
          </w:p>
        </w:tc>
        <w:tc>
          <w:tcPr>
            <w:tcW w:w="498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项目实施后，</w:t>
            </w:r>
            <w:r>
              <w:rPr>
                <w:rFonts w:hint="eastAsia" w:ascii="仿宋" w:hAnsi="仿宋" w:eastAsia="仿宋" w:cs="仿宋"/>
                <w:color w:val="000000"/>
                <w:sz w:val="20"/>
                <w:szCs w:val="20"/>
                <w:highlight w:val="none"/>
                <w:lang w:eastAsia="zh-CN"/>
              </w:rPr>
              <w:t>维护生态稳定</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3</w:t>
            </w:r>
            <w:r>
              <w:rPr>
                <w:rFonts w:hint="eastAsia" w:ascii="仿宋" w:hAnsi="仿宋" w:eastAsia="仿宋" w:cs="仿宋"/>
                <w:color w:val="000000"/>
                <w:kern w:val="0"/>
                <w:sz w:val="20"/>
                <w:szCs w:val="20"/>
                <w:highlight w:val="none"/>
              </w:rPr>
              <w:t>分；</w:t>
            </w:r>
            <w:r>
              <w:rPr>
                <w:rFonts w:hint="eastAsia" w:ascii="仿宋" w:hAnsi="仿宋" w:eastAsia="仿宋" w:cs="仿宋"/>
                <w:color w:val="000000"/>
                <w:sz w:val="20"/>
                <w:szCs w:val="20"/>
                <w:highlight w:val="none"/>
                <w:lang w:eastAsia="zh-CN"/>
              </w:rPr>
              <w:t>未产生生态污染</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3</w:t>
            </w:r>
            <w:r>
              <w:rPr>
                <w:rFonts w:hint="eastAsia" w:ascii="仿宋" w:hAnsi="仿宋" w:eastAsia="仿宋" w:cs="仿宋"/>
                <w:color w:val="000000"/>
                <w:kern w:val="0"/>
                <w:sz w:val="20"/>
                <w:szCs w:val="20"/>
                <w:highlight w:val="none"/>
              </w:rPr>
              <w:t>分，否则计0分。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90" w:hRule="atLeast"/>
          <w:jc w:val="center"/>
        </w:trPr>
        <w:tc>
          <w:tcPr>
            <w:tcW w:w="565" w:type="dxa"/>
            <w:vMerge w:val="continue"/>
            <w:noWrap w:val="0"/>
            <w:vAlign w:val="center"/>
          </w:tcPr>
          <w:p>
            <w:pPr>
              <w:jc w:val="center"/>
              <w:rPr>
                <w:rFonts w:hint="eastAsia" w:ascii="仿宋" w:hAnsi="仿宋" w:eastAsia="仿宋" w:cs="仿宋"/>
                <w:color w:val="000000"/>
                <w:sz w:val="20"/>
                <w:szCs w:val="20"/>
                <w:highlight w:val="yellow"/>
              </w:rPr>
            </w:pPr>
          </w:p>
        </w:tc>
        <w:tc>
          <w:tcPr>
            <w:tcW w:w="711" w:type="dxa"/>
            <w:vMerge w:val="continue"/>
            <w:noWrap w:val="0"/>
            <w:vAlign w:val="center"/>
          </w:tcPr>
          <w:p>
            <w:pPr>
              <w:jc w:val="center"/>
              <w:rPr>
                <w:rFonts w:hint="eastAsia" w:ascii="仿宋" w:hAnsi="仿宋" w:eastAsia="仿宋" w:cs="仿宋"/>
                <w:color w:val="000000"/>
                <w:sz w:val="20"/>
                <w:szCs w:val="20"/>
                <w:highlight w:val="yellow"/>
              </w:rPr>
            </w:pP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eastAsia="zh-CN"/>
              </w:rPr>
            </w:pPr>
            <w:r>
              <w:rPr>
                <w:rFonts w:hint="eastAsia" w:ascii="仿宋" w:hAnsi="仿宋" w:eastAsia="仿宋" w:cs="仿宋"/>
                <w:color w:val="000000"/>
                <w:kern w:val="0"/>
                <w:sz w:val="20"/>
                <w:szCs w:val="20"/>
                <w:highlight w:val="none"/>
                <w:lang w:eastAsia="zh-CN"/>
              </w:rPr>
              <w:t>可持续影响</w:t>
            </w:r>
          </w:p>
        </w:tc>
        <w:tc>
          <w:tcPr>
            <w:tcW w:w="524" w:type="dxa"/>
            <w:noWrap w:val="0"/>
            <w:vAlign w:val="center"/>
          </w:tcPr>
          <w:p>
            <w:pPr>
              <w:widowControl/>
              <w:ind w:left="0" w:leftChars="0" w:firstLine="0" w:firstLineChars="0"/>
              <w:jc w:val="center"/>
              <w:textAlignment w:val="center"/>
              <w:rPr>
                <w:rFonts w:hint="default" w:ascii="仿宋" w:hAnsi="仿宋" w:eastAsia="仿宋" w:cs="仿宋"/>
                <w:color w:val="000000"/>
                <w:kern w:val="0"/>
                <w:sz w:val="20"/>
                <w:szCs w:val="20"/>
                <w:highlight w:val="yellow"/>
                <w:lang w:val="en-US" w:eastAsia="zh-CN"/>
              </w:rPr>
            </w:pPr>
            <w:r>
              <w:rPr>
                <w:rFonts w:hint="eastAsia" w:ascii="仿宋" w:hAnsi="仿宋" w:eastAsia="仿宋" w:cs="仿宋"/>
                <w:color w:val="000000"/>
                <w:kern w:val="0"/>
                <w:sz w:val="20"/>
                <w:szCs w:val="20"/>
                <w:highlight w:val="none"/>
                <w:lang w:val="en-US" w:eastAsia="zh-CN"/>
              </w:rPr>
              <w:t>7</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eastAsia="zh-CN"/>
              </w:rPr>
            </w:pPr>
            <w:r>
              <w:rPr>
                <w:rFonts w:hint="eastAsia" w:ascii="仿宋" w:hAnsi="仿宋" w:eastAsia="仿宋" w:cs="仿宋"/>
                <w:color w:val="000000"/>
                <w:kern w:val="0"/>
                <w:sz w:val="20"/>
                <w:szCs w:val="20"/>
                <w:highlight w:val="none"/>
                <w:lang w:eastAsia="zh-CN"/>
              </w:rPr>
              <w:t>推动当地可持续发展</w:t>
            </w:r>
          </w:p>
        </w:tc>
        <w:tc>
          <w:tcPr>
            <w:tcW w:w="611" w:type="dxa"/>
            <w:noWrap w:val="0"/>
            <w:vAlign w:val="center"/>
          </w:tcPr>
          <w:p>
            <w:pPr>
              <w:widowControl/>
              <w:ind w:left="0" w:leftChars="0" w:firstLine="0" w:firstLineChars="0"/>
              <w:jc w:val="center"/>
              <w:textAlignment w:val="center"/>
              <w:rPr>
                <w:rFonts w:hint="default" w:ascii="仿宋" w:hAnsi="仿宋" w:eastAsia="仿宋" w:cs="仿宋"/>
                <w:color w:val="000000"/>
                <w:kern w:val="0"/>
                <w:sz w:val="20"/>
                <w:szCs w:val="20"/>
                <w:highlight w:val="yellow"/>
                <w:lang w:val="en-US" w:eastAsia="zh-CN"/>
              </w:rPr>
            </w:pPr>
            <w:r>
              <w:rPr>
                <w:rFonts w:hint="eastAsia" w:ascii="仿宋" w:hAnsi="仿宋" w:eastAsia="仿宋" w:cs="仿宋"/>
                <w:color w:val="000000"/>
                <w:kern w:val="0"/>
                <w:sz w:val="20"/>
                <w:szCs w:val="20"/>
                <w:highlight w:val="none"/>
                <w:lang w:val="en-US" w:eastAsia="zh-CN"/>
              </w:rPr>
              <w:t>7</w:t>
            </w:r>
          </w:p>
        </w:tc>
        <w:tc>
          <w:tcPr>
            <w:tcW w:w="456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项目</w:t>
            </w:r>
            <w:r>
              <w:rPr>
                <w:rFonts w:hint="eastAsia" w:ascii="仿宋" w:hAnsi="仿宋" w:eastAsia="仿宋" w:cs="仿宋"/>
                <w:color w:val="000000"/>
                <w:kern w:val="0"/>
                <w:sz w:val="20"/>
                <w:szCs w:val="20"/>
                <w:highlight w:val="none"/>
                <w:lang w:eastAsia="zh-CN"/>
              </w:rPr>
              <w:t>的实施对推动当地可持续发展起到的作用</w:t>
            </w:r>
            <w:r>
              <w:rPr>
                <w:rFonts w:hint="eastAsia" w:ascii="仿宋" w:hAnsi="仿宋" w:eastAsia="仿宋" w:cs="仿宋"/>
                <w:color w:val="000000"/>
                <w:kern w:val="0"/>
                <w:sz w:val="20"/>
                <w:szCs w:val="20"/>
                <w:highlight w:val="none"/>
              </w:rPr>
              <w:t>。</w:t>
            </w:r>
          </w:p>
        </w:tc>
        <w:tc>
          <w:tcPr>
            <w:tcW w:w="498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项目实施后，</w:t>
            </w:r>
            <w:r>
              <w:rPr>
                <w:rFonts w:hint="eastAsia" w:ascii="仿宋" w:hAnsi="仿宋" w:eastAsia="仿宋" w:cs="仿宋"/>
                <w:color w:val="000000"/>
                <w:kern w:val="0"/>
                <w:sz w:val="20"/>
                <w:szCs w:val="20"/>
                <w:highlight w:val="none"/>
                <w:lang w:eastAsia="zh-CN"/>
              </w:rPr>
              <w:t>对推动当地可持续发展起到的作用</w:t>
            </w:r>
            <w:r>
              <w:rPr>
                <w:rFonts w:hint="eastAsia" w:ascii="仿宋" w:hAnsi="仿宋" w:eastAsia="仿宋" w:cs="仿宋"/>
                <w:color w:val="000000"/>
                <w:kern w:val="0"/>
                <w:sz w:val="20"/>
                <w:szCs w:val="20"/>
                <w:highlight w:val="none"/>
              </w:rPr>
              <w:t>，计</w:t>
            </w:r>
            <w:r>
              <w:rPr>
                <w:rFonts w:hint="eastAsia" w:ascii="仿宋" w:hAnsi="仿宋" w:eastAsia="仿宋" w:cs="仿宋"/>
                <w:color w:val="000000"/>
                <w:kern w:val="0"/>
                <w:sz w:val="20"/>
                <w:szCs w:val="20"/>
                <w:highlight w:val="none"/>
                <w:lang w:val="en-US" w:eastAsia="zh-CN"/>
              </w:rPr>
              <w:t>5</w:t>
            </w:r>
            <w:r>
              <w:rPr>
                <w:rFonts w:hint="eastAsia" w:ascii="仿宋" w:hAnsi="仿宋" w:eastAsia="仿宋" w:cs="仿宋"/>
                <w:color w:val="000000"/>
                <w:kern w:val="0"/>
                <w:sz w:val="20"/>
                <w:szCs w:val="20"/>
                <w:highlight w:val="none"/>
              </w:rPr>
              <w:t>分；项目</w:t>
            </w:r>
            <w:r>
              <w:rPr>
                <w:rFonts w:hint="eastAsia" w:ascii="仿宋" w:hAnsi="仿宋" w:eastAsia="仿宋" w:cs="仿宋"/>
                <w:color w:val="000000"/>
                <w:kern w:val="0"/>
                <w:sz w:val="20"/>
                <w:szCs w:val="20"/>
                <w:highlight w:val="none"/>
                <w:lang w:eastAsia="zh-CN"/>
              </w:rPr>
              <w:t>建成后全面发挥作用，计</w:t>
            </w:r>
            <w:r>
              <w:rPr>
                <w:rFonts w:hint="eastAsia" w:ascii="仿宋" w:hAnsi="仿宋" w:eastAsia="仿宋" w:cs="仿宋"/>
                <w:color w:val="000000"/>
                <w:kern w:val="0"/>
                <w:sz w:val="20"/>
                <w:szCs w:val="20"/>
                <w:highlight w:val="none"/>
                <w:lang w:val="en-US" w:eastAsia="zh-CN"/>
              </w:rPr>
              <w:t>2分，</w:t>
            </w:r>
            <w:r>
              <w:rPr>
                <w:rFonts w:hint="eastAsia" w:ascii="仿宋" w:hAnsi="仿宋" w:eastAsia="仿宋" w:cs="仿宋"/>
                <w:color w:val="000000"/>
                <w:kern w:val="0"/>
                <w:sz w:val="20"/>
                <w:szCs w:val="20"/>
                <w:highlight w:val="none"/>
              </w:rPr>
              <w:t>否则计0分。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90" w:hRule="atLeast"/>
          <w:jc w:val="center"/>
        </w:trPr>
        <w:tc>
          <w:tcPr>
            <w:tcW w:w="565"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lang w:eastAsia="zh-CN"/>
              </w:rPr>
            </w:pPr>
            <w:r>
              <w:rPr>
                <w:rFonts w:hint="eastAsia" w:ascii="仿宋" w:hAnsi="仿宋" w:eastAsia="仿宋" w:cs="仿宋"/>
                <w:color w:val="000000"/>
                <w:kern w:val="0"/>
                <w:sz w:val="20"/>
                <w:szCs w:val="20"/>
                <w:highlight w:val="none"/>
              </w:rPr>
              <w:t>满意度</w:t>
            </w:r>
          </w:p>
        </w:tc>
        <w:tc>
          <w:tcPr>
            <w:tcW w:w="711"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5</w:t>
            </w:r>
          </w:p>
        </w:tc>
        <w:tc>
          <w:tcPr>
            <w:tcW w:w="743"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服务对象满意度指标</w:t>
            </w:r>
          </w:p>
        </w:tc>
        <w:tc>
          <w:tcPr>
            <w:tcW w:w="524" w:type="dxa"/>
            <w:noWrap w:val="0"/>
            <w:vAlign w:val="center"/>
          </w:tcPr>
          <w:p>
            <w:pPr>
              <w:widowControl/>
              <w:jc w:val="center"/>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Cs w:val="21"/>
                <w:highlight w:val="none"/>
              </w:rPr>
              <w:t>5</w:t>
            </w:r>
          </w:p>
        </w:tc>
        <w:tc>
          <w:tcPr>
            <w:tcW w:w="1228" w:type="dxa"/>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lang w:eastAsia="zh-CN"/>
              </w:rPr>
              <w:t>社会</w:t>
            </w:r>
            <w:r>
              <w:rPr>
                <w:rFonts w:hint="eastAsia" w:ascii="仿宋" w:hAnsi="仿宋" w:eastAsia="仿宋" w:cs="仿宋"/>
                <w:color w:val="000000"/>
                <w:kern w:val="0"/>
                <w:sz w:val="20"/>
                <w:szCs w:val="20"/>
                <w:highlight w:val="none"/>
              </w:rPr>
              <w:t>公众满意度</w:t>
            </w:r>
          </w:p>
        </w:tc>
        <w:tc>
          <w:tcPr>
            <w:tcW w:w="611" w:type="dxa"/>
            <w:noWrap w:val="0"/>
            <w:vAlign w:val="center"/>
          </w:tcPr>
          <w:p>
            <w:pPr>
              <w:widowControl/>
              <w:ind w:left="0" w:leftChars="0" w:firstLine="0" w:firstLineChars="0"/>
              <w:jc w:val="center"/>
              <w:textAlignment w:val="center"/>
              <w:rPr>
                <w:rFonts w:hint="default" w:ascii="仿宋" w:hAnsi="仿宋" w:eastAsia="仿宋" w:cs="仿宋"/>
                <w:color w:val="000000"/>
                <w:kern w:val="0"/>
                <w:sz w:val="20"/>
                <w:szCs w:val="20"/>
                <w:highlight w:val="none"/>
                <w:lang w:val="en-US" w:eastAsia="zh-CN"/>
              </w:rPr>
            </w:pPr>
            <w:r>
              <w:rPr>
                <w:rFonts w:hint="eastAsia" w:ascii="仿宋" w:hAnsi="仿宋" w:cs="仿宋"/>
                <w:color w:val="000000"/>
                <w:kern w:val="0"/>
                <w:sz w:val="20"/>
                <w:szCs w:val="20"/>
                <w:highlight w:val="none"/>
                <w:lang w:val="en-US" w:eastAsia="zh-CN"/>
              </w:rPr>
              <w:t>5</w:t>
            </w:r>
          </w:p>
        </w:tc>
        <w:tc>
          <w:tcPr>
            <w:tcW w:w="456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社会公众或服务对象对项目实施效果的满意程度</w:t>
            </w:r>
          </w:p>
        </w:tc>
        <w:tc>
          <w:tcPr>
            <w:tcW w:w="4989" w:type="dxa"/>
            <w:noWrap w:val="0"/>
            <w:vAlign w:val="center"/>
          </w:tcPr>
          <w:p>
            <w:pPr>
              <w:widowControl/>
              <w:jc w:val="left"/>
              <w:textAlignment w:val="center"/>
              <w:rPr>
                <w:rFonts w:hint="eastAsia" w:ascii="仿宋" w:hAnsi="仿宋" w:eastAsia="仿宋" w:cs="仿宋"/>
                <w:color w:val="000000"/>
                <w:kern w:val="0"/>
                <w:sz w:val="20"/>
                <w:szCs w:val="20"/>
                <w:highlight w:val="yellow"/>
              </w:rPr>
            </w:pPr>
            <w:r>
              <w:rPr>
                <w:rFonts w:hint="eastAsia" w:ascii="仿宋" w:hAnsi="仿宋" w:eastAsia="仿宋" w:cs="仿宋"/>
                <w:color w:val="000000"/>
                <w:kern w:val="0"/>
                <w:sz w:val="20"/>
                <w:szCs w:val="20"/>
                <w:highlight w:val="none"/>
              </w:rPr>
              <w:t>根据满意度调查问卷得分。满意度在95%及以上，计10分；满意度</w:t>
            </w:r>
            <w:r>
              <w:rPr>
                <w:rFonts w:hint="eastAsia" w:ascii="仿宋" w:hAnsi="仿宋" w:eastAsia="仿宋" w:cs="仿宋"/>
                <w:color w:val="000000"/>
                <w:kern w:val="0"/>
                <w:sz w:val="20"/>
                <w:szCs w:val="20"/>
                <w:highlight w:val="none"/>
                <w:lang w:eastAsia="zh-CN"/>
              </w:rPr>
              <w:t>在</w:t>
            </w:r>
            <w:r>
              <w:rPr>
                <w:rFonts w:hint="eastAsia" w:ascii="仿宋" w:hAnsi="仿宋" w:eastAsia="仿宋" w:cs="仿宋"/>
                <w:color w:val="000000"/>
                <w:kern w:val="0"/>
                <w:sz w:val="20"/>
                <w:szCs w:val="20"/>
                <w:highlight w:val="none"/>
              </w:rPr>
              <w:t>80%与95%之间，计8分；满意度在70%与80%之间，计6分；满意度在60%与70%之间，</w:t>
            </w:r>
            <w:r>
              <w:rPr>
                <w:rFonts w:hint="eastAsia" w:ascii="仿宋" w:hAnsi="仿宋" w:cs="仿宋"/>
                <w:color w:val="000000"/>
                <w:kern w:val="0"/>
                <w:sz w:val="20"/>
                <w:szCs w:val="20"/>
                <w:highlight w:val="none"/>
                <w:lang w:val="en-US" w:eastAsia="zh-CN"/>
              </w:rPr>
              <w:t>计</w:t>
            </w:r>
            <w:r>
              <w:rPr>
                <w:rFonts w:hint="eastAsia" w:ascii="仿宋" w:hAnsi="仿宋" w:eastAsia="仿宋" w:cs="仿宋"/>
                <w:color w:val="000000"/>
                <w:kern w:val="0"/>
                <w:sz w:val="20"/>
                <w:szCs w:val="20"/>
                <w:highlight w:val="none"/>
              </w:rPr>
              <w:t>4分；满意度低于60%计2分。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5" w:hRule="atLeast"/>
          <w:jc w:val="center"/>
        </w:trPr>
        <w:tc>
          <w:tcPr>
            <w:tcW w:w="565" w:type="dxa"/>
            <w:noWrap w:val="0"/>
            <w:vAlign w:val="center"/>
          </w:tcPr>
          <w:p>
            <w:pPr>
              <w:jc w:val="center"/>
              <w:rPr>
                <w:rFonts w:hint="eastAsia" w:ascii="仿宋" w:hAnsi="仿宋" w:eastAsia="仿宋" w:cs="仿宋"/>
                <w:color w:val="000000"/>
                <w:sz w:val="20"/>
                <w:szCs w:val="20"/>
                <w:highlight w:val="yellow"/>
              </w:rPr>
            </w:pPr>
          </w:p>
        </w:tc>
        <w:tc>
          <w:tcPr>
            <w:tcW w:w="7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100</w:t>
            </w:r>
          </w:p>
        </w:tc>
        <w:tc>
          <w:tcPr>
            <w:tcW w:w="743" w:type="dxa"/>
            <w:noWrap w:val="0"/>
            <w:vAlign w:val="center"/>
          </w:tcPr>
          <w:p>
            <w:pPr>
              <w:jc w:val="center"/>
              <w:rPr>
                <w:rFonts w:hint="eastAsia" w:ascii="仿宋" w:hAnsi="仿宋" w:eastAsia="仿宋" w:cs="仿宋"/>
                <w:color w:val="000000"/>
                <w:sz w:val="20"/>
                <w:szCs w:val="20"/>
                <w:highlight w:val="yellow"/>
              </w:rPr>
            </w:pPr>
          </w:p>
        </w:tc>
        <w:tc>
          <w:tcPr>
            <w:tcW w:w="524"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100</w:t>
            </w:r>
          </w:p>
        </w:tc>
        <w:tc>
          <w:tcPr>
            <w:tcW w:w="1228" w:type="dxa"/>
            <w:noWrap w:val="0"/>
            <w:vAlign w:val="center"/>
          </w:tcPr>
          <w:p>
            <w:pPr>
              <w:jc w:val="center"/>
              <w:rPr>
                <w:rFonts w:hint="eastAsia" w:ascii="仿宋" w:hAnsi="仿宋" w:eastAsia="仿宋" w:cs="仿宋"/>
                <w:color w:val="000000"/>
                <w:sz w:val="20"/>
                <w:szCs w:val="20"/>
                <w:highlight w:val="yellow"/>
              </w:rPr>
            </w:pPr>
          </w:p>
        </w:tc>
        <w:tc>
          <w:tcPr>
            <w:tcW w:w="611" w:type="dxa"/>
            <w:noWrap w:val="0"/>
            <w:vAlign w:val="center"/>
          </w:tcPr>
          <w:p>
            <w:pPr>
              <w:widowControl/>
              <w:ind w:left="0" w:leftChars="0" w:firstLine="0" w:firstLineChars="0"/>
              <w:jc w:val="center"/>
              <w:textAlignment w:val="center"/>
              <w:rPr>
                <w:rFonts w:hint="eastAsia" w:ascii="仿宋" w:hAnsi="仿宋" w:eastAsia="仿宋" w:cs="仿宋"/>
                <w:color w:val="000000"/>
                <w:sz w:val="20"/>
                <w:szCs w:val="20"/>
                <w:highlight w:val="yellow"/>
              </w:rPr>
            </w:pPr>
            <w:r>
              <w:rPr>
                <w:rFonts w:hint="eastAsia" w:ascii="仿宋" w:hAnsi="仿宋" w:eastAsia="仿宋" w:cs="仿宋"/>
                <w:color w:val="000000"/>
                <w:kern w:val="0"/>
                <w:sz w:val="20"/>
                <w:szCs w:val="20"/>
                <w:highlight w:val="none"/>
              </w:rPr>
              <w:t>100</w:t>
            </w:r>
          </w:p>
        </w:tc>
        <w:tc>
          <w:tcPr>
            <w:tcW w:w="4569" w:type="dxa"/>
            <w:noWrap w:val="0"/>
            <w:vAlign w:val="center"/>
          </w:tcPr>
          <w:p>
            <w:pPr>
              <w:jc w:val="center"/>
              <w:rPr>
                <w:rFonts w:hint="eastAsia" w:ascii="仿宋" w:hAnsi="仿宋" w:eastAsia="仿宋" w:cs="仿宋"/>
                <w:color w:val="000000"/>
                <w:sz w:val="20"/>
                <w:szCs w:val="20"/>
                <w:highlight w:val="yellow"/>
              </w:rPr>
            </w:pPr>
          </w:p>
        </w:tc>
        <w:tc>
          <w:tcPr>
            <w:tcW w:w="4989" w:type="dxa"/>
            <w:noWrap w:val="0"/>
            <w:vAlign w:val="center"/>
          </w:tcPr>
          <w:p>
            <w:pPr>
              <w:jc w:val="center"/>
              <w:rPr>
                <w:rFonts w:hint="eastAsia" w:ascii="仿宋" w:hAnsi="仿宋" w:eastAsia="仿宋" w:cs="仿宋"/>
                <w:color w:val="000000"/>
                <w:sz w:val="20"/>
                <w:szCs w:val="20"/>
                <w:highlight w:val="yellow"/>
              </w:rPr>
            </w:pPr>
          </w:p>
        </w:tc>
      </w:tr>
    </w:tbl>
    <w:p>
      <w:pPr>
        <w:pStyle w:val="3"/>
        <w:spacing w:line="240" w:lineRule="auto"/>
        <w:ind w:firstLine="0" w:firstLineChars="0"/>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rPr>
          <w:rFonts w:hint="eastAsia" w:ascii="仿宋" w:hAnsi="仿宋" w:cs="仿宋"/>
          <w:b/>
          <w:bCs/>
          <w:szCs w:val="28"/>
        </w:rPr>
      </w:pPr>
    </w:p>
    <w:p>
      <w:pPr>
        <w:ind w:left="0" w:leftChars="0" w:firstLine="0" w:firstLineChars="0"/>
        <w:rPr>
          <w:rFonts w:hint="eastAsia"/>
        </w:rPr>
        <w:sectPr>
          <w:footerReference r:id="rId16" w:type="default"/>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156" w:afterLines="50"/>
        <w:ind w:left="0" w:leftChars="0" w:firstLine="0" w:firstLineChars="0"/>
        <w:jc w:val="left"/>
        <w:rPr>
          <w:rFonts w:hint="eastAsia" w:ascii="仿宋" w:hAnsi="仿宋" w:cs="仿宋"/>
          <w:szCs w:val="28"/>
        </w:rPr>
      </w:pPr>
      <w:r>
        <w:rPr>
          <w:rFonts w:hint="eastAsia" w:ascii="仿宋" w:hAnsi="仿宋" w:cs="仿宋"/>
        </w:rPr>
        <w:t>附件二：</w:t>
      </w:r>
      <w:r>
        <w:rPr>
          <w:rFonts w:hint="eastAsia" w:ascii="仿宋" w:hAnsi="仿宋" w:cs="仿宋"/>
          <w:szCs w:val="28"/>
        </w:rPr>
        <w:t>财政支出绩效评价指标评分表</w:t>
      </w:r>
    </w:p>
    <w:p>
      <w:pPr>
        <w:spacing w:after="156" w:afterLines="50"/>
        <w:jc w:val="center"/>
        <w:rPr>
          <w:rFonts w:hint="eastAsia" w:ascii="黑体" w:hAnsi="黑体" w:eastAsia="黑体" w:cs="黑体"/>
          <w:sz w:val="28"/>
          <w:szCs w:val="28"/>
          <w:highlight w:val="none"/>
        </w:rPr>
      </w:pPr>
      <w:r>
        <w:rPr>
          <w:rFonts w:hint="eastAsia" w:ascii="仿宋" w:hAnsi="仿宋" w:eastAsia="仿宋" w:cs="仿宋"/>
          <w:b/>
          <w:bCs/>
          <w:sz w:val="28"/>
          <w:szCs w:val="28"/>
          <w:highlight w:val="none"/>
        </w:rPr>
        <w:t>财政支出绩效评价指标评分表</w:t>
      </w:r>
    </w:p>
    <w:tbl>
      <w:tblPr>
        <w:tblStyle w:val="16"/>
        <w:tblW w:w="8700" w:type="dxa"/>
        <w:tblInd w:w="0" w:type="dxa"/>
        <w:tblLayout w:type="fixed"/>
        <w:tblCellMar>
          <w:top w:w="15" w:type="dxa"/>
          <w:left w:w="15" w:type="dxa"/>
          <w:bottom w:w="15" w:type="dxa"/>
          <w:right w:w="15" w:type="dxa"/>
        </w:tblCellMar>
      </w:tblPr>
      <w:tblGrid>
        <w:gridCol w:w="1079"/>
        <w:gridCol w:w="1063"/>
        <w:gridCol w:w="1277"/>
        <w:gridCol w:w="991"/>
        <w:gridCol w:w="2175"/>
        <w:gridCol w:w="1035"/>
        <w:gridCol w:w="1080"/>
      </w:tblGrid>
      <w:tr>
        <w:tblPrEx>
          <w:tblCellMar>
            <w:top w:w="15" w:type="dxa"/>
            <w:left w:w="15" w:type="dxa"/>
            <w:bottom w:w="15" w:type="dxa"/>
            <w:right w:w="15" w:type="dxa"/>
          </w:tblCellMar>
        </w:tblPrEx>
        <w:trPr>
          <w:trHeight w:val="50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一级指标</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权重分值</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二级指标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权重分值</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三级指标</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权重分值</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rPr>
              <w:t>评价得分</w:t>
            </w:r>
          </w:p>
        </w:tc>
      </w:tr>
      <w:tr>
        <w:tblPrEx>
          <w:tblCellMar>
            <w:top w:w="15" w:type="dxa"/>
            <w:left w:w="15" w:type="dxa"/>
            <w:bottom w:w="15" w:type="dxa"/>
            <w:right w:w="15" w:type="dxa"/>
          </w:tblCellMar>
        </w:tblPrEx>
        <w:trPr>
          <w:trHeight w:val="360" w:hRule="atLeast"/>
        </w:trPr>
        <w:tc>
          <w:tcPr>
            <w:tcW w:w="10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投入</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127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项目立项</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12</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项目立项规范性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4</w:t>
            </w:r>
          </w:p>
        </w:tc>
      </w:tr>
      <w:tr>
        <w:tblPrEx>
          <w:tblCellMar>
            <w:top w:w="15" w:type="dxa"/>
            <w:left w:w="15" w:type="dxa"/>
            <w:bottom w:w="15" w:type="dxa"/>
            <w:right w:w="15" w:type="dxa"/>
          </w:tblCellMar>
        </w:tblPrEx>
        <w:trPr>
          <w:trHeight w:val="334"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绩效目标合理性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4</w:t>
            </w:r>
          </w:p>
        </w:tc>
      </w:tr>
      <w:tr>
        <w:tblPrEx>
          <w:tblCellMar>
            <w:top w:w="15" w:type="dxa"/>
            <w:left w:w="15" w:type="dxa"/>
            <w:bottom w:w="15" w:type="dxa"/>
            <w:right w:w="15" w:type="dxa"/>
          </w:tblCellMar>
        </w:tblPrEx>
        <w:trPr>
          <w:trHeight w:val="36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资金落实</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3</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资金到位率</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w:t>
            </w:r>
          </w:p>
        </w:tc>
      </w:tr>
      <w:tr>
        <w:tblPrEx>
          <w:tblCellMar>
            <w:top w:w="15" w:type="dxa"/>
            <w:left w:w="15" w:type="dxa"/>
            <w:bottom w:w="15" w:type="dxa"/>
            <w:right w:w="15" w:type="dxa"/>
          </w:tblCellMar>
        </w:tblPrEx>
        <w:trPr>
          <w:trHeight w:val="360" w:hRule="atLeast"/>
        </w:trPr>
        <w:tc>
          <w:tcPr>
            <w:tcW w:w="10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过程</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20</w:t>
            </w:r>
          </w:p>
        </w:tc>
        <w:tc>
          <w:tcPr>
            <w:tcW w:w="127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项目管理</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10</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管理制度健全性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1</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项目实施</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6</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kern w:val="0"/>
                <w:sz w:val="20"/>
                <w:szCs w:val="20"/>
              </w:rPr>
              <w:t>项目质量</w:t>
            </w:r>
            <w:r>
              <w:rPr>
                <w:rFonts w:hint="eastAsia" w:ascii="仿宋" w:hAnsi="仿宋" w:eastAsia="仿宋" w:cs="仿宋"/>
                <w:color w:val="000000"/>
                <w:kern w:val="0"/>
                <w:sz w:val="20"/>
                <w:szCs w:val="20"/>
                <w:lang w:eastAsia="zh-CN"/>
              </w:rPr>
              <w:t>管理</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1</w:t>
            </w:r>
          </w:p>
        </w:tc>
      </w:tr>
      <w:tr>
        <w:tblPrEx>
          <w:tblCellMar>
            <w:top w:w="15" w:type="dxa"/>
            <w:left w:w="15" w:type="dxa"/>
            <w:bottom w:w="15" w:type="dxa"/>
            <w:right w:w="15" w:type="dxa"/>
          </w:tblCellMar>
        </w:tblPrEx>
        <w:trPr>
          <w:trHeight w:val="36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ind w:left="400" w:hanging="400" w:hangingChars="20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资金管理</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10</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财务制度健全性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yellow"/>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yellow"/>
              </w:rPr>
            </w:pP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资金使用合规性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5</w:t>
            </w:r>
          </w:p>
        </w:tc>
      </w:tr>
      <w:tr>
        <w:tblPrEx>
          <w:tblCellMar>
            <w:top w:w="15" w:type="dxa"/>
            <w:left w:w="15" w:type="dxa"/>
            <w:bottom w:w="15" w:type="dxa"/>
            <w:right w:w="15" w:type="dxa"/>
          </w:tblCellMar>
        </w:tblPrEx>
        <w:trPr>
          <w:trHeight w:val="36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yellow"/>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yellow"/>
              </w:rPr>
            </w:pP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财务监控的有效性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w:t>
            </w:r>
          </w:p>
        </w:tc>
      </w:tr>
      <w:tr>
        <w:tblPrEx>
          <w:tblCellMar>
            <w:top w:w="15" w:type="dxa"/>
            <w:left w:w="15" w:type="dxa"/>
            <w:bottom w:w="15" w:type="dxa"/>
            <w:right w:w="15" w:type="dxa"/>
          </w:tblCellMar>
        </w:tblPrEx>
        <w:trPr>
          <w:trHeight w:val="360" w:hRule="atLeast"/>
        </w:trPr>
        <w:tc>
          <w:tcPr>
            <w:tcW w:w="10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产出</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val="en-US" w:eastAsia="zh-CN"/>
              </w:rPr>
            </w:pPr>
            <w:r>
              <w:rPr>
                <w:rFonts w:hint="eastAsia" w:ascii="仿宋" w:hAnsi="仿宋" w:eastAsia="仿宋" w:cs="仿宋"/>
                <w:color w:val="000000"/>
                <w:kern w:val="0"/>
                <w:sz w:val="20"/>
                <w:szCs w:val="20"/>
                <w:lang w:val="en-US" w:eastAsia="zh-CN"/>
              </w:rPr>
              <w:t>30</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完成数量</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eastAsia="zh-CN"/>
              </w:rPr>
            </w:pPr>
            <w:r>
              <w:rPr>
                <w:rFonts w:hint="eastAsia" w:ascii="仿宋" w:hAnsi="仿宋" w:eastAsia="仿宋" w:cs="仿宋"/>
                <w:kern w:val="0"/>
                <w:sz w:val="20"/>
                <w:szCs w:val="20"/>
                <w:lang w:val="en-US" w:eastAsia="zh-CN"/>
              </w:rPr>
              <w:t>7</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eastAsia="zh-CN"/>
              </w:rPr>
              <w:t>产出实际</w:t>
            </w:r>
            <w:r>
              <w:rPr>
                <w:rFonts w:hint="eastAsia" w:ascii="仿宋" w:hAnsi="仿宋" w:eastAsia="仿宋" w:cs="仿宋"/>
                <w:color w:val="000000"/>
                <w:kern w:val="0"/>
                <w:sz w:val="20"/>
                <w:szCs w:val="20"/>
              </w:rPr>
              <w:t>完成率</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eastAsia="zh-CN"/>
              </w:rPr>
            </w:pPr>
            <w:r>
              <w:rPr>
                <w:rFonts w:hint="eastAsia" w:ascii="仿宋" w:hAnsi="仿宋" w:eastAsia="仿宋" w:cs="仿宋"/>
                <w:kern w:val="0"/>
                <w:sz w:val="20"/>
                <w:szCs w:val="20"/>
                <w:lang w:val="en-US" w:eastAsia="zh-CN"/>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7</w:t>
            </w:r>
          </w:p>
        </w:tc>
      </w:tr>
      <w:tr>
        <w:tblPrEx>
          <w:tblCellMar>
            <w:top w:w="15" w:type="dxa"/>
            <w:left w:w="15" w:type="dxa"/>
            <w:bottom w:w="15" w:type="dxa"/>
            <w:right w:w="15" w:type="dxa"/>
          </w:tblCellMar>
        </w:tblPrEx>
        <w:trPr>
          <w:trHeight w:val="36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100" w:firstLineChars="5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完成时效</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kern w:val="0"/>
                <w:sz w:val="20"/>
                <w:szCs w:val="20"/>
                <w:highlight w:val="none"/>
                <w:lang w:val="en-US" w:eastAsia="zh-CN"/>
              </w:rPr>
              <w:t>7</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完</w:t>
            </w:r>
            <w:r>
              <w:rPr>
                <w:rFonts w:hint="eastAsia" w:ascii="仿宋" w:hAnsi="仿宋" w:eastAsia="仿宋" w:cs="仿宋"/>
                <w:color w:val="000000"/>
                <w:kern w:val="0"/>
                <w:sz w:val="20"/>
                <w:szCs w:val="20"/>
                <w:highlight w:val="none"/>
                <w:lang w:eastAsia="zh-CN"/>
              </w:rPr>
              <w:t>成</w:t>
            </w:r>
            <w:r>
              <w:rPr>
                <w:rFonts w:hint="eastAsia" w:ascii="仿宋" w:hAnsi="仿宋" w:eastAsia="仿宋" w:cs="仿宋"/>
                <w:color w:val="000000"/>
                <w:kern w:val="0"/>
                <w:sz w:val="20"/>
                <w:szCs w:val="20"/>
                <w:highlight w:val="none"/>
              </w:rPr>
              <w:t>及时性</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kern w:val="0"/>
                <w:sz w:val="20"/>
                <w:szCs w:val="20"/>
                <w:highlight w:val="none"/>
                <w:lang w:val="en-US" w:eastAsia="zh-CN"/>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7</w:t>
            </w:r>
          </w:p>
        </w:tc>
      </w:tr>
      <w:tr>
        <w:tblPrEx>
          <w:tblCellMar>
            <w:top w:w="15" w:type="dxa"/>
            <w:left w:w="15" w:type="dxa"/>
            <w:bottom w:w="15" w:type="dxa"/>
            <w:right w:w="15" w:type="dxa"/>
          </w:tblCellMar>
        </w:tblPrEx>
        <w:trPr>
          <w:trHeight w:val="473"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质量指标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eastAsia="zh-CN"/>
              </w:rPr>
            </w:pPr>
            <w:r>
              <w:rPr>
                <w:rFonts w:hint="eastAsia" w:ascii="仿宋" w:hAnsi="仿宋" w:eastAsia="仿宋" w:cs="仿宋"/>
                <w:kern w:val="0"/>
                <w:sz w:val="20"/>
                <w:szCs w:val="20"/>
                <w:lang w:val="en-US" w:eastAsia="zh-CN"/>
              </w:rPr>
              <w:t>8</w:t>
            </w:r>
          </w:p>
        </w:tc>
        <w:tc>
          <w:tcPr>
            <w:tcW w:w="2175"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rPr>
              <w:t>完成质量达标率</w:t>
            </w:r>
          </w:p>
        </w:tc>
        <w:tc>
          <w:tcPr>
            <w:tcW w:w="1035"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8</w:t>
            </w:r>
          </w:p>
        </w:tc>
      </w:tr>
      <w:tr>
        <w:tblPrEx>
          <w:tblCellMar>
            <w:top w:w="15" w:type="dxa"/>
            <w:left w:w="15" w:type="dxa"/>
            <w:bottom w:w="15" w:type="dxa"/>
            <w:right w:w="15" w:type="dxa"/>
          </w:tblCellMar>
        </w:tblPrEx>
        <w:trPr>
          <w:trHeight w:val="395"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成本控制</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kern w:val="0"/>
                <w:sz w:val="20"/>
                <w:szCs w:val="20"/>
                <w:highlight w:val="none"/>
                <w:lang w:val="en-US" w:eastAsia="zh-CN"/>
              </w:rPr>
              <w:t>8</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rPr>
              <w:t>成本</w:t>
            </w:r>
            <w:r>
              <w:rPr>
                <w:rFonts w:hint="eastAsia" w:ascii="仿宋" w:hAnsi="仿宋" w:eastAsia="仿宋" w:cs="仿宋"/>
                <w:color w:val="000000"/>
                <w:kern w:val="0"/>
                <w:sz w:val="20"/>
                <w:szCs w:val="20"/>
                <w:highlight w:val="none"/>
                <w:lang w:eastAsia="zh-CN"/>
              </w:rPr>
              <w:t>管理情况</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kern w:val="0"/>
                <w:sz w:val="20"/>
                <w:szCs w:val="20"/>
                <w:highlight w:val="none"/>
                <w:lang w:val="en-US" w:eastAsia="zh-CN"/>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8</w:t>
            </w:r>
          </w:p>
        </w:tc>
      </w:tr>
      <w:tr>
        <w:tblPrEx>
          <w:tblCellMar>
            <w:top w:w="15" w:type="dxa"/>
            <w:left w:w="15" w:type="dxa"/>
            <w:bottom w:w="15" w:type="dxa"/>
            <w:right w:w="15" w:type="dxa"/>
          </w:tblCellMar>
        </w:tblPrEx>
        <w:trPr>
          <w:trHeight w:val="430" w:hRule="atLeast"/>
        </w:trPr>
        <w:tc>
          <w:tcPr>
            <w:tcW w:w="10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效益</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val="en-US" w:eastAsia="zh-CN"/>
              </w:rPr>
              <w:t>30</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经济效益</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lang w:val="en-US" w:eastAsia="zh-CN"/>
              </w:rPr>
              <w:t>7</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highlight w:val="none"/>
                <w:lang w:eastAsia="zh-CN"/>
              </w:rPr>
              <w:t>推进复工复产，降低疫情影响</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lang w:val="en-US" w:eastAsia="zh-CN"/>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7</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社会效益</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color w:val="000000"/>
                <w:sz w:val="20"/>
                <w:szCs w:val="20"/>
                <w:lang w:val="en-US"/>
              </w:rPr>
            </w:pPr>
            <w:r>
              <w:rPr>
                <w:rFonts w:hint="eastAsia" w:ascii="仿宋" w:hAnsi="仿宋" w:eastAsia="仿宋" w:cs="仿宋"/>
                <w:color w:val="000000"/>
                <w:sz w:val="20"/>
                <w:szCs w:val="20"/>
                <w:lang w:val="en-US" w:eastAsia="zh-CN"/>
              </w:rPr>
              <w:t>10</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highlight w:val="none"/>
                <w:lang w:eastAsia="zh-CN"/>
              </w:rPr>
              <w:t>维持了经济运行，降低失业，维护社会稳定</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sz w:val="20"/>
                <w:szCs w:val="20"/>
                <w:lang w:val="en-US"/>
              </w:rPr>
            </w:pPr>
            <w:r>
              <w:rPr>
                <w:rFonts w:hint="eastAsia" w:ascii="仿宋" w:hAnsi="仿宋" w:eastAsia="仿宋" w:cs="仿宋"/>
                <w:kern w:val="0"/>
                <w:sz w:val="20"/>
                <w:szCs w:val="20"/>
                <w:lang w:val="en-US" w:eastAsia="zh-CN"/>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10</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生态效益</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0"/>
                <w:szCs w:val="20"/>
                <w:highlight w:val="none"/>
                <w:lang w:val="en-US" w:eastAsia="zh-CN"/>
              </w:rPr>
            </w:pPr>
            <w:r>
              <w:rPr>
                <w:rFonts w:hint="eastAsia" w:ascii="仿宋" w:hAnsi="仿宋" w:eastAsia="仿宋" w:cs="仿宋"/>
                <w:kern w:val="0"/>
                <w:sz w:val="20"/>
                <w:szCs w:val="20"/>
                <w:highlight w:val="none"/>
                <w:lang w:val="en-US" w:eastAsia="zh-CN"/>
              </w:rPr>
              <w:t>6</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ind w:left="0" w:leftChars="0" w:firstLine="0" w:firstLineChars="0"/>
              <w:jc w:val="center"/>
              <w:textAlignment w:val="center"/>
              <w:rPr>
                <w:rFonts w:hint="eastAsia" w:ascii="仿宋" w:hAnsi="仿宋" w:eastAsia="仿宋" w:cs="仿宋"/>
                <w:color w:val="000000"/>
                <w:kern w:val="0"/>
                <w:sz w:val="20"/>
                <w:szCs w:val="20"/>
                <w:highlight w:val="none"/>
                <w:lang w:eastAsia="zh-CN"/>
              </w:rPr>
            </w:pPr>
            <w:r>
              <w:rPr>
                <w:rFonts w:hint="eastAsia" w:ascii="仿宋" w:hAnsi="仿宋" w:eastAsia="仿宋" w:cs="仿宋"/>
                <w:color w:val="000000"/>
                <w:sz w:val="20"/>
                <w:szCs w:val="20"/>
                <w:highlight w:val="none"/>
                <w:lang w:eastAsia="zh-CN"/>
              </w:rPr>
              <w:t>维护生态环境稳定，未产生生态污染</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6</w:t>
            </w:r>
          </w:p>
        </w:tc>
      </w:tr>
      <w:tr>
        <w:tblPrEx>
          <w:tblCellMar>
            <w:top w:w="15" w:type="dxa"/>
            <w:left w:w="15" w:type="dxa"/>
            <w:bottom w:w="15" w:type="dxa"/>
            <w:right w:w="15" w:type="dxa"/>
          </w:tblCellMar>
        </w:tblPrEx>
        <w:trPr>
          <w:trHeight w:val="440" w:hRule="atLeast"/>
        </w:trPr>
        <w:tc>
          <w:tcPr>
            <w:tcW w:w="107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可持续影响 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kern w:val="0"/>
                <w:sz w:val="20"/>
                <w:szCs w:val="20"/>
                <w:highlight w:val="none"/>
                <w:lang w:val="en-US" w:eastAsia="zh-CN"/>
              </w:rPr>
              <w:t>7</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eastAsia="zh-CN"/>
              </w:rPr>
              <w:t>推动当地可持续发展</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lang w:val="en-US" w:eastAsia="zh-CN"/>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5</w:t>
            </w:r>
          </w:p>
        </w:tc>
      </w:tr>
      <w:tr>
        <w:tblPrEx>
          <w:tblCellMar>
            <w:top w:w="15" w:type="dxa"/>
            <w:left w:w="15" w:type="dxa"/>
            <w:bottom w:w="15" w:type="dxa"/>
            <w:right w:w="15" w:type="dxa"/>
          </w:tblCellMar>
        </w:tblPrEx>
        <w:trPr>
          <w:trHeight w:val="491"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仿宋" w:hAnsi="仿宋" w:eastAsia="仿宋" w:cs="仿宋"/>
                <w:color w:val="000000"/>
                <w:sz w:val="20"/>
                <w:szCs w:val="20"/>
              </w:rPr>
            </w:pPr>
            <w:r>
              <w:rPr>
                <w:rFonts w:hint="eastAsia" w:ascii="仿宋" w:hAnsi="仿宋" w:eastAsia="仿宋" w:cs="仿宋"/>
                <w:color w:val="000000"/>
                <w:kern w:val="0"/>
                <w:sz w:val="20"/>
                <w:szCs w:val="20"/>
              </w:rPr>
              <w:t>满意度</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服务对象满意度指标</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社会公众满意度</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5</w:t>
            </w:r>
          </w:p>
        </w:tc>
      </w:tr>
      <w:tr>
        <w:tblPrEx>
          <w:tblCellMar>
            <w:top w:w="15" w:type="dxa"/>
            <w:left w:w="15" w:type="dxa"/>
            <w:bottom w:w="15" w:type="dxa"/>
            <w:right w:w="15" w:type="dxa"/>
          </w:tblCellMar>
        </w:tblPrEx>
        <w:trPr>
          <w:trHeight w:val="491"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100</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100</w:t>
            </w:r>
          </w:p>
        </w:tc>
        <w:tc>
          <w:tcPr>
            <w:tcW w:w="21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kern w:val="0"/>
                <w:sz w:val="20"/>
                <w:szCs w:val="20"/>
              </w:rPr>
              <w:t>100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90</w:t>
            </w:r>
          </w:p>
        </w:tc>
      </w:tr>
    </w:tbl>
    <w:p>
      <w:pPr>
        <w:pStyle w:val="3"/>
        <w:ind w:firstLine="0" w:firstLineChars="0"/>
      </w:pPr>
    </w:p>
    <w:p>
      <w:pPr>
        <w:ind w:firstLine="0" w:firstLineChars="0"/>
        <w:rPr>
          <w:rFonts w:hint="eastAsia" w:ascii="仿宋" w:hAnsi="仿宋" w:cs="仿宋"/>
          <w:b/>
          <w:bCs/>
          <w:szCs w:val="28"/>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pacing w:line="240" w:lineRule="auto"/>
        <w:ind w:firstLine="0" w:firstLineChars="0"/>
        <w:rPr>
          <w:rFonts w:ascii="仿宋" w:hAnsi="仿宋" w:cs="仿宋"/>
        </w:rPr>
      </w:pPr>
      <w:bookmarkStart w:id="48" w:name="_Toc3204"/>
      <w:r>
        <w:rPr>
          <w:rFonts w:hint="eastAsia" w:ascii="仿宋" w:hAnsi="仿宋" w:cs="仿宋"/>
        </w:rPr>
        <w:t>附件三：</w:t>
      </w:r>
      <w:bookmarkEnd w:id="48"/>
    </w:p>
    <w:p>
      <w:pPr>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2022年疫情防控资金项目</w:t>
      </w:r>
    </w:p>
    <w:p>
      <w:pPr>
        <w:jc w:val="center"/>
        <w:rPr>
          <w:rFonts w:hint="eastAsia" w:ascii="仿宋" w:hAnsi="仿宋" w:eastAsia="仿宋" w:cs="仿宋"/>
          <w:b/>
          <w:bCs/>
          <w:sz w:val="28"/>
          <w:szCs w:val="28"/>
        </w:rPr>
      </w:pPr>
      <w:r>
        <w:rPr>
          <w:rFonts w:hint="eastAsia" w:ascii="仿宋" w:hAnsi="仿宋" w:eastAsia="仿宋"/>
          <w:b/>
          <w:bCs/>
          <w:sz w:val="28"/>
          <w:szCs w:val="28"/>
        </w:rPr>
        <w:t>绩效评价满意度调查问卷</w:t>
      </w:r>
    </w:p>
    <w:p>
      <w:pPr>
        <w:spacing w:line="574" w:lineRule="exact"/>
        <w:jc w:val="center"/>
        <w:rPr>
          <w:rFonts w:hint="eastAsia" w:ascii="仿宋" w:hAnsi="仿宋" w:eastAsia="仿宋"/>
          <w:b/>
          <w:bCs/>
          <w:sz w:val="28"/>
          <w:szCs w:val="28"/>
        </w:rPr>
      </w:pPr>
    </w:p>
    <w:p>
      <w:pPr>
        <w:spacing w:line="574" w:lineRule="exact"/>
        <w:rPr>
          <w:rFonts w:hint="eastAsia" w:ascii="仿宋" w:hAnsi="仿宋" w:eastAsia="仿宋" w:cs="仿宋"/>
          <w:sz w:val="28"/>
          <w:szCs w:val="28"/>
        </w:rPr>
      </w:pPr>
      <w:r>
        <w:rPr>
          <w:rFonts w:hint="eastAsia" w:ascii="仿宋" w:hAnsi="仿宋" w:eastAsia="仿宋" w:cs="仿宋"/>
          <w:sz w:val="28"/>
          <w:szCs w:val="28"/>
        </w:rPr>
        <w:t>尊敬的先生/女士：</w:t>
      </w:r>
    </w:p>
    <w:p>
      <w:pPr>
        <w:spacing w:line="574" w:lineRule="exact"/>
        <w:ind w:firstLine="560"/>
        <w:rPr>
          <w:rFonts w:hint="eastAsia" w:ascii="仿宋" w:hAnsi="仿宋" w:eastAsia="仿宋" w:cs="仿宋"/>
          <w:sz w:val="28"/>
          <w:szCs w:val="28"/>
        </w:rPr>
      </w:pPr>
      <w:bookmarkStart w:id="52" w:name="_GoBack"/>
      <w:bookmarkEnd w:id="52"/>
      <w:r>
        <w:rPr>
          <w:rFonts w:hint="eastAsia" w:ascii="仿宋" w:hAnsi="仿宋" w:cs="仿宋"/>
          <w:sz w:val="28"/>
          <w:szCs w:val="28"/>
          <w:lang w:eastAsia="zh-CN"/>
        </w:rPr>
        <w:t>你</w:t>
      </w:r>
      <w:r>
        <w:rPr>
          <w:rFonts w:hint="eastAsia" w:ascii="仿宋" w:hAnsi="仿宋" w:eastAsia="仿宋" w:cs="仿宋"/>
          <w:sz w:val="28"/>
          <w:szCs w:val="28"/>
        </w:rPr>
        <w:t>好！</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为了全面了解</w:t>
      </w:r>
      <w:r>
        <w:rPr>
          <w:rFonts w:hint="eastAsia" w:ascii="仿宋" w:hAnsi="仿宋" w:eastAsia="仿宋" w:cs="仿宋"/>
          <w:sz w:val="28"/>
          <w:szCs w:val="28"/>
          <w:lang w:eastAsia="zh-CN"/>
        </w:rPr>
        <w:t>2022年疫情防控资金项目</w:t>
      </w:r>
      <w:r>
        <w:rPr>
          <w:rFonts w:hint="eastAsia" w:ascii="仿宋" w:hAnsi="仿宋" w:eastAsia="仿宋" w:cs="仿宋"/>
          <w:sz w:val="28"/>
          <w:szCs w:val="28"/>
        </w:rPr>
        <w:t>实施情况，对项目进行客观公正的绩效评价，从而提高资金的管理水平，特设计本次的调查问卷。本问卷采用无记名方式，我们将对</w:t>
      </w:r>
      <w:r>
        <w:rPr>
          <w:rFonts w:hint="eastAsia" w:ascii="仿宋" w:hAnsi="仿宋" w:cs="仿宋"/>
          <w:sz w:val="28"/>
          <w:szCs w:val="28"/>
          <w:lang w:eastAsia="zh-CN"/>
        </w:rPr>
        <w:t>你</w:t>
      </w:r>
      <w:r>
        <w:rPr>
          <w:rFonts w:hint="eastAsia" w:ascii="仿宋" w:hAnsi="仿宋" w:eastAsia="仿宋" w:cs="仿宋"/>
          <w:sz w:val="28"/>
          <w:szCs w:val="28"/>
        </w:rPr>
        <w:t>的回答严格保密，</w:t>
      </w:r>
      <w:r>
        <w:rPr>
          <w:rFonts w:hint="eastAsia" w:ascii="仿宋" w:hAnsi="仿宋" w:cs="仿宋"/>
          <w:sz w:val="28"/>
          <w:szCs w:val="28"/>
          <w:lang w:eastAsia="zh-CN"/>
        </w:rPr>
        <w:t>你</w:t>
      </w:r>
      <w:r>
        <w:rPr>
          <w:rFonts w:hint="eastAsia" w:ascii="仿宋" w:hAnsi="仿宋" w:eastAsia="仿宋" w:cs="仿宋"/>
          <w:sz w:val="28"/>
          <w:szCs w:val="28"/>
        </w:rPr>
        <w:t>所提供的信息将是本次满意度评价的重要依据，非常感谢</w:t>
      </w:r>
      <w:r>
        <w:rPr>
          <w:rFonts w:hint="eastAsia" w:ascii="仿宋" w:hAnsi="仿宋" w:cs="仿宋"/>
          <w:sz w:val="28"/>
          <w:szCs w:val="28"/>
          <w:lang w:eastAsia="zh-CN"/>
        </w:rPr>
        <w:t>你</w:t>
      </w:r>
      <w:r>
        <w:rPr>
          <w:rFonts w:hint="eastAsia" w:ascii="仿宋" w:hAnsi="仿宋" w:eastAsia="仿宋" w:cs="仿宋"/>
          <w:sz w:val="28"/>
          <w:szCs w:val="28"/>
        </w:rPr>
        <w:t>的配合。</w:t>
      </w:r>
    </w:p>
    <w:p>
      <w:pPr>
        <w:spacing w:line="574" w:lineRule="exact"/>
        <w:ind w:firstLine="560"/>
        <w:jc w:val="left"/>
        <w:rPr>
          <w:rFonts w:hint="eastAsia" w:ascii="仿宋" w:hAnsi="仿宋" w:eastAsia="仿宋" w:cs="仿宋"/>
          <w:sz w:val="28"/>
          <w:szCs w:val="28"/>
        </w:rPr>
      </w:pPr>
      <w:bookmarkStart w:id="49" w:name="_Toc466553672"/>
      <w:r>
        <w:rPr>
          <w:rFonts w:hint="eastAsia" w:ascii="仿宋" w:hAnsi="仿宋" w:eastAsia="仿宋" w:cs="仿宋"/>
          <w:sz w:val="28"/>
          <w:szCs w:val="28"/>
        </w:rPr>
        <w:t>一、</w:t>
      </w:r>
      <w:bookmarkEnd w:id="49"/>
      <w:r>
        <w:rPr>
          <w:rFonts w:hint="eastAsia" w:ascii="仿宋" w:hAnsi="仿宋" w:eastAsia="仿宋" w:cs="仿宋"/>
          <w:sz w:val="28"/>
          <w:szCs w:val="28"/>
        </w:rPr>
        <w:t>基础信息</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cs="仿宋"/>
          <w:sz w:val="28"/>
          <w:szCs w:val="28"/>
          <w:lang w:eastAsia="zh-CN"/>
        </w:rPr>
        <w:t>你</w:t>
      </w:r>
      <w:r>
        <w:rPr>
          <w:rFonts w:hint="eastAsia" w:ascii="仿宋" w:hAnsi="仿宋" w:eastAsia="仿宋" w:cs="仿宋"/>
          <w:sz w:val="28"/>
          <w:szCs w:val="28"/>
        </w:rPr>
        <w:t>的年龄是？（   )</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20岁以下       B、20-40      C、41-60    D、60岁以上</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cs="仿宋"/>
          <w:sz w:val="28"/>
          <w:szCs w:val="28"/>
          <w:lang w:eastAsia="zh-CN"/>
        </w:rPr>
        <w:t>你</w:t>
      </w:r>
      <w:r>
        <w:rPr>
          <w:rFonts w:hint="eastAsia" w:ascii="仿宋" w:hAnsi="仿宋" w:eastAsia="仿宋" w:cs="仿宋"/>
          <w:sz w:val="28"/>
          <w:szCs w:val="28"/>
        </w:rPr>
        <w:t>的文化程度是？（  ）</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 xml:space="preserve"> 大专及以下   B、本科及以上     C、其他</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cs="仿宋"/>
          <w:sz w:val="28"/>
          <w:szCs w:val="28"/>
          <w:lang w:eastAsia="zh-CN"/>
        </w:rPr>
        <w:t>你</w:t>
      </w:r>
      <w:r>
        <w:rPr>
          <w:rFonts w:hint="eastAsia" w:ascii="仿宋" w:hAnsi="仿宋" w:eastAsia="仿宋" w:cs="仿宋"/>
          <w:sz w:val="28"/>
          <w:szCs w:val="28"/>
        </w:rPr>
        <w:t>是本地方的人吗，来这里主要是做什么的？</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A.是，生活在这里  B.出差的  C.来探亲访友的  D.路过这里</w:t>
      </w:r>
    </w:p>
    <w:p>
      <w:pPr>
        <w:spacing w:line="574"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cs="仿宋"/>
          <w:sz w:val="28"/>
          <w:szCs w:val="28"/>
          <w:lang w:eastAsia="zh-CN"/>
        </w:rPr>
        <w:t>你</w:t>
      </w:r>
      <w:r>
        <w:rPr>
          <w:rFonts w:hint="eastAsia" w:ascii="仿宋" w:hAnsi="仿宋" w:eastAsia="仿宋" w:cs="仿宋"/>
          <w:sz w:val="28"/>
          <w:szCs w:val="28"/>
        </w:rPr>
        <w:t>知道</w:t>
      </w:r>
      <w:r>
        <w:rPr>
          <w:rFonts w:hint="eastAsia" w:ascii="仿宋" w:hAnsi="仿宋" w:eastAsia="仿宋" w:cs="仿宋"/>
          <w:sz w:val="28"/>
          <w:szCs w:val="28"/>
          <w:lang w:eastAsia="zh-CN"/>
        </w:rPr>
        <w:t>2022年疫情防控资金项目</w:t>
      </w:r>
      <w:r>
        <w:rPr>
          <w:rFonts w:hint="eastAsia" w:ascii="仿宋" w:hAnsi="仿宋" w:eastAsia="仿宋" w:cs="仿宋"/>
          <w:sz w:val="28"/>
          <w:szCs w:val="28"/>
        </w:rPr>
        <w:t>吗？（  ）</w:t>
      </w:r>
    </w:p>
    <w:p>
      <w:pPr>
        <w:spacing w:line="574" w:lineRule="exact"/>
        <w:ind w:firstLine="280" w:firstLineChars="100"/>
        <w:rPr>
          <w:rFonts w:hint="eastAsia" w:ascii="仿宋" w:hAnsi="仿宋" w:eastAsia="仿宋" w:cs="仿宋"/>
          <w:sz w:val="28"/>
          <w:szCs w:val="28"/>
        </w:rPr>
      </w:pPr>
      <w:r>
        <w:rPr>
          <w:rFonts w:hint="eastAsia" w:ascii="仿宋" w:hAnsi="仿宋" w:eastAsia="仿宋" w:cs="仿宋"/>
          <w:sz w:val="28"/>
          <w:szCs w:val="28"/>
        </w:rPr>
        <w:t xml:space="preserve">  A.知道的，非常清楚    B.听说过，但不太清楚   C.不知道</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5495925</wp:posOffset>
                </wp:positionH>
                <wp:positionV relativeFrom="paragraph">
                  <wp:posOffset>618490</wp:posOffset>
                </wp:positionV>
                <wp:extent cx="30480" cy="27940"/>
                <wp:effectExtent l="3175" t="3810" r="4445" b="6350"/>
                <wp:wrapNone/>
                <wp:docPr id="26" name="直接连接符 26"/>
                <wp:cNvGraphicFramePr/>
                <a:graphic xmlns:a="http://schemas.openxmlformats.org/drawingml/2006/main">
                  <a:graphicData uri="http://schemas.microsoft.com/office/word/2010/wordprocessingShape">
                    <wps:wsp>
                      <wps:cNvCnPr/>
                      <wps:spPr>
                        <a:xfrm flipH="1">
                          <a:off x="0" y="0"/>
                          <a:ext cx="30480" cy="279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432.75pt;margin-top:48.7pt;height:2.2pt;width:2.4pt;z-index:251659264;mso-width-relative:page;mso-height-relative:page;" filled="f" stroked="t" coordsize="21600,21600" o:gfxdata="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EV/v2QAAAAoBAAAPAAAAAAAAAAEAIAAAACIAAABkcnMvZG93&#10;bnJldi54bWxQSwECFAAUAAAACACHTuJAxbPAOv8BAAD0AwAADgAAAAAAAAABACAAAAAoAQAAZHJz&#10;L2Uyb0RvYy54bWxQSwUGAAAAAAYABgBZAQAAmQUAAAAA&#10;">
                <v:fill on="f" focussize="0,0"/>
                <v:stroke color="#000000" joinstyle="round"/>
                <v:imagedata o:title=""/>
                <o:lock v:ext="edit" aspectratio="f"/>
              </v:line>
            </w:pict>
          </mc:Fallback>
        </mc:AlternateContent>
      </w:r>
      <w:r>
        <w:rPr>
          <w:rFonts w:hint="eastAsia" w:ascii="仿宋" w:hAnsi="仿宋" w:eastAsia="仿宋" w:cs="仿宋"/>
          <w:sz w:val="28"/>
          <w:szCs w:val="28"/>
        </w:rPr>
        <w:t>5.</w:t>
      </w:r>
      <w:r>
        <w:rPr>
          <w:rFonts w:hint="eastAsia" w:ascii="仿宋" w:hAnsi="仿宋" w:cs="仿宋"/>
          <w:sz w:val="28"/>
          <w:szCs w:val="28"/>
          <w:lang w:eastAsia="zh-CN"/>
        </w:rPr>
        <w:t>你</w:t>
      </w:r>
      <w:r>
        <w:rPr>
          <w:rFonts w:hint="eastAsia" w:ascii="仿宋" w:hAnsi="仿宋" w:eastAsia="仿宋" w:cs="仿宋"/>
          <w:sz w:val="28"/>
          <w:szCs w:val="28"/>
        </w:rPr>
        <w:t>认为</w:t>
      </w:r>
      <w:r>
        <w:rPr>
          <w:rFonts w:hint="eastAsia" w:ascii="仿宋" w:hAnsi="仿宋" w:eastAsia="仿宋" w:cs="仿宋"/>
          <w:sz w:val="28"/>
          <w:szCs w:val="28"/>
          <w:lang w:eastAsia="zh-CN"/>
        </w:rPr>
        <w:t>2022年疫情防控资金项目</w:t>
      </w:r>
      <w:r>
        <w:rPr>
          <w:rFonts w:hint="eastAsia" w:ascii="仿宋" w:hAnsi="仿宋" w:eastAsia="仿宋" w:cs="仿宋"/>
          <w:sz w:val="28"/>
          <w:szCs w:val="28"/>
        </w:rPr>
        <w:t xml:space="preserve">的好处有哪些？（  ） </w:t>
      </w:r>
    </w:p>
    <w:p>
      <w:pPr>
        <w:spacing w:line="574" w:lineRule="exact"/>
        <w:ind w:firstLine="560"/>
        <w:rPr>
          <w:rFonts w:hint="eastAsia" w:ascii="仿宋" w:hAnsi="仿宋" w:eastAsia="仿宋" w:cs="仿宋"/>
          <w:sz w:val="28"/>
          <w:szCs w:val="28"/>
          <w:lang w:val="en-US" w:eastAsia="zh-CN"/>
        </w:rPr>
      </w:pPr>
      <w:r>
        <w:rPr>
          <w:rFonts w:hint="eastAsia" w:ascii="仿宋" w:hAnsi="仿宋" w:eastAsia="仿宋" w:cs="仿宋"/>
          <w:sz w:val="28"/>
          <w:szCs w:val="28"/>
        </w:rPr>
        <w:t>A.</w:t>
      </w:r>
      <w:r>
        <w:rPr>
          <w:rFonts w:hint="eastAsia" w:ascii="仿宋" w:hAnsi="仿宋" w:eastAsia="仿宋" w:cs="仿宋"/>
          <w:kern w:val="0"/>
          <w:sz w:val="28"/>
          <w:szCs w:val="28"/>
        </w:rPr>
        <w:t xml:space="preserve"> </w:t>
      </w:r>
      <w:r>
        <w:rPr>
          <w:rFonts w:hint="eastAsia" w:ascii="仿宋" w:hAnsi="仿宋" w:eastAsia="仿宋" w:cs="仿宋"/>
          <w:kern w:val="0"/>
          <w:sz w:val="28"/>
          <w:szCs w:val="28"/>
          <w:lang w:eastAsia="zh-CN"/>
        </w:rPr>
        <w:t>根据疫情情况开展全员核酸检测</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pPr>
        <w:spacing w:line="574"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 xml:space="preserve">B. </w:t>
      </w:r>
      <w:r>
        <w:rPr>
          <w:rFonts w:hint="eastAsia" w:ascii="仿宋" w:hAnsi="仿宋" w:eastAsia="仿宋" w:cs="仿宋"/>
          <w:sz w:val="28"/>
          <w:szCs w:val="28"/>
          <w:lang w:eastAsia="zh-CN"/>
        </w:rPr>
        <w:t>起到对本地疫情外防输入、内防反弹的作用</w:t>
      </w:r>
    </w:p>
    <w:p>
      <w:pPr>
        <w:spacing w:line="574" w:lineRule="exact"/>
        <w:rPr>
          <w:rFonts w:hint="eastAsia" w:ascii="仿宋" w:hAnsi="仿宋" w:eastAsia="仿宋" w:cs="仿宋"/>
          <w:sz w:val="28"/>
          <w:szCs w:val="28"/>
          <w:lang w:val="en-US" w:eastAsia="zh-CN"/>
        </w:rPr>
      </w:pPr>
      <w:r>
        <w:rPr>
          <w:rFonts w:hint="eastAsia" w:ascii="仿宋" w:hAnsi="仿宋" w:eastAsia="仿宋" w:cs="仿宋"/>
          <w:sz w:val="28"/>
          <w:szCs w:val="28"/>
        </w:rPr>
        <w:t xml:space="preserve">C. </w:t>
      </w:r>
      <w:r>
        <w:rPr>
          <w:rFonts w:hint="eastAsia" w:ascii="仿宋" w:hAnsi="仿宋" w:eastAsia="仿宋" w:cs="仿宋"/>
          <w:sz w:val="28"/>
          <w:szCs w:val="28"/>
          <w:lang w:eastAsia="zh-CN"/>
        </w:rPr>
        <w:t>批量购买救护车，提高疫情防控水平</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pPr>
        <w:spacing w:line="574" w:lineRule="exact"/>
        <w:rPr>
          <w:rFonts w:hint="eastAsia" w:ascii="仿宋" w:hAnsi="仿宋" w:eastAsia="仿宋" w:cs="仿宋"/>
          <w:sz w:val="28"/>
          <w:szCs w:val="28"/>
          <w:lang w:eastAsia="zh-CN"/>
        </w:rPr>
      </w:pPr>
      <w:r>
        <w:rPr>
          <w:rFonts w:hint="eastAsia" w:ascii="仿宋" w:hAnsi="仿宋" w:eastAsia="仿宋" w:cs="仿宋"/>
          <w:sz w:val="28"/>
          <w:szCs w:val="28"/>
        </w:rPr>
        <w:t xml:space="preserve">D. </w:t>
      </w:r>
      <w:r>
        <w:rPr>
          <w:rFonts w:hint="eastAsia" w:ascii="仿宋" w:hAnsi="仿宋" w:eastAsia="仿宋" w:cs="仿宋"/>
          <w:sz w:val="28"/>
          <w:szCs w:val="28"/>
          <w:lang w:eastAsia="zh-CN"/>
        </w:rPr>
        <w:t>人员常驻疫情防控关卡，完成防控任务</w:t>
      </w:r>
    </w:p>
    <w:p>
      <w:pPr>
        <w:spacing w:line="574" w:lineRule="exact"/>
        <w:rPr>
          <w:rFonts w:hint="eastAsia" w:ascii="仿宋" w:hAnsi="仿宋" w:eastAsia="仿宋" w:cs="仿宋"/>
          <w:sz w:val="28"/>
          <w:szCs w:val="28"/>
          <w:lang w:val="en-US" w:eastAsia="zh-CN"/>
        </w:rPr>
      </w:pPr>
      <w:r>
        <w:rPr>
          <w:rFonts w:hint="eastAsia" w:ascii="仿宋" w:hAnsi="仿宋" w:eastAsia="仿宋" w:cs="仿宋"/>
          <w:sz w:val="28"/>
          <w:szCs w:val="28"/>
        </w:rPr>
        <w:t>E.</w:t>
      </w:r>
      <w:r>
        <w:rPr>
          <w:rFonts w:hint="eastAsia" w:ascii="仿宋" w:hAnsi="仿宋" w:eastAsia="仿宋" w:cs="仿宋"/>
          <w:sz w:val="28"/>
          <w:szCs w:val="28"/>
          <w:lang w:val="en-US" w:eastAsia="zh-CN"/>
        </w:rPr>
        <w:t xml:space="preserve"> 采购防疫物资，保证全县疫情防控有效可控</w:t>
      </w:r>
    </w:p>
    <w:p>
      <w:pPr>
        <w:spacing w:line="574" w:lineRule="exact"/>
        <w:rPr>
          <w:rFonts w:hint="eastAsia" w:ascii="仿宋" w:hAnsi="仿宋" w:eastAsia="仿宋" w:cs="仿宋"/>
          <w:sz w:val="28"/>
          <w:szCs w:val="28"/>
        </w:rPr>
      </w:pPr>
      <w:r>
        <w:rPr>
          <w:rFonts w:hint="eastAsia" w:ascii="仿宋" w:hAnsi="仿宋" w:eastAsia="仿宋" w:cs="仿宋"/>
          <w:sz w:val="28"/>
          <w:szCs w:val="28"/>
        </w:rPr>
        <w:t xml:space="preserve">F.其他           </w:t>
      </w:r>
    </w:p>
    <w:p>
      <w:pPr>
        <w:spacing w:line="574"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二、满意度调查</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cs="仿宋"/>
          <w:sz w:val="28"/>
          <w:szCs w:val="28"/>
          <w:lang w:eastAsia="zh-CN"/>
        </w:rPr>
        <w:t>你</w:t>
      </w:r>
      <w:r>
        <w:rPr>
          <w:rFonts w:hint="eastAsia" w:ascii="仿宋" w:hAnsi="仿宋" w:eastAsia="仿宋" w:cs="仿宋"/>
          <w:sz w:val="28"/>
          <w:szCs w:val="28"/>
        </w:rPr>
        <w:t>认为</w:t>
      </w:r>
      <w:r>
        <w:rPr>
          <w:rFonts w:hint="eastAsia" w:ascii="仿宋" w:hAnsi="仿宋" w:eastAsia="仿宋" w:cs="仿宋"/>
          <w:sz w:val="28"/>
          <w:szCs w:val="28"/>
          <w:lang w:eastAsia="zh-CN"/>
        </w:rPr>
        <w:t>2022年疫情防控资金项目起到的作用</w:t>
      </w:r>
      <w:r>
        <w:rPr>
          <w:rFonts w:hint="eastAsia" w:ascii="仿宋" w:hAnsi="仿宋" w:eastAsia="仿宋" w:cs="仿宋"/>
          <w:sz w:val="28"/>
          <w:szCs w:val="28"/>
        </w:rPr>
        <w:t>怎么样吗？（   ）</w:t>
      </w:r>
    </w:p>
    <w:p>
      <w:pPr>
        <w:spacing w:line="574"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lang w:eastAsia="zh-CN"/>
        </w:rPr>
        <w:t>很好</w:t>
      </w:r>
      <w:r>
        <w:rPr>
          <w:rFonts w:hint="eastAsia" w:ascii="仿宋" w:hAnsi="仿宋" w:eastAsia="仿宋" w:cs="仿宋"/>
          <w:sz w:val="28"/>
          <w:szCs w:val="28"/>
        </w:rPr>
        <w:t xml:space="preserve">  B、</w:t>
      </w:r>
      <w:r>
        <w:rPr>
          <w:rFonts w:hint="eastAsia" w:ascii="仿宋" w:hAnsi="仿宋" w:eastAsia="仿宋" w:cs="仿宋"/>
          <w:sz w:val="28"/>
          <w:szCs w:val="28"/>
          <w:lang w:eastAsia="zh-CN"/>
        </w:rPr>
        <w:t>好</w:t>
      </w:r>
      <w:r>
        <w:rPr>
          <w:rFonts w:hint="eastAsia" w:ascii="仿宋" w:hAnsi="仿宋" w:eastAsia="仿宋" w:cs="仿宋"/>
          <w:sz w:val="28"/>
          <w:szCs w:val="28"/>
        </w:rPr>
        <w:t xml:space="preserve">   C、</w:t>
      </w:r>
      <w:r>
        <w:rPr>
          <w:rFonts w:hint="eastAsia" w:ascii="仿宋" w:hAnsi="仿宋" w:eastAsia="仿宋" w:cs="仿宋"/>
          <w:sz w:val="28"/>
          <w:szCs w:val="28"/>
          <w:lang w:eastAsia="zh-CN"/>
        </w:rPr>
        <w:t>可以</w:t>
      </w:r>
      <w:r>
        <w:rPr>
          <w:rFonts w:hint="eastAsia" w:ascii="仿宋" w:hAnsi="仿宋" w:eastAsia="仿宋" w:cs="仿宋"/>
          <w:sz w:val="28"/>
          <w:szCs w:val="28"/>
        </w:rPr>
        <w:t xml:space="preserve">  D、</w:t>
      </w:r>
      <w:r>
        <w:rPr>
          <w:rFonts w:hint="eastAsia" w:ascii="仿宋" w:hAnsi="仿宋" w:eastAsia="仿宋" w:cs="仿宋"/>
          <w:sz w:val="28"/>
          <w:szCs w:val="28"/>
          <w:lang w:eastAsia="zh-CN"/>
        </w:rPr>
        <w:t>一般</w:t>
      </w:r>
      <w:r>
        <w:rPr>
          <w:rFonts w:hint="eastAsia" w:ascii="仿宋" w:hAnsi="仿宋" w:eastAsia="仿宋" w:cs="仿宋"/>
          <w:sz w:val="28"/>
          <w:szCs w:val="28"/>
        </w:rPr>
        <w:t xml:space="preserve">  E、</w:t>
      </w:r>
      <w:r>
        <w:rPr>
          <w:rFonts w:hint="eastAsia" w:ascii="仿宋" w:hAnsi="仿宋" w:eastAsia="仿宋" w:cs="仿宋"/>
          <w:sz w:val="28"/>
          <w:szCs w:val="28"/>
          <w:lang w:eastAsia="zh-CN"/>
        </w:rPr>
        <w:t>较差</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cs="仿宋"/>
          <w:sz w:val="28"/>
          <w:szCs w:val="28"/>
          <w:lang w:eastAsia="zh-CN"/>
        </w:rPr>
        <w:t>你</w:t>
      </w:r>
      <w:r>
        <w:rPr>
          <w:rFonts w:hint="eastAsia" w:ascii="仿宋" w:hAnsi="仿宋" w:eastAsia="仿宋" w:cs="仿宋"/>
          <w:sz w:val="28"/>
          <w:szCs w:val="28"/>
        </w:rPr>
        <w:t>认为</w:t>
      </w:r>
      <w:r>
        <w:rPr>
          <w:rFonts w:hint="eastAsia" w:ascii="仿宋" w:hAnsi="仿宋" w:eastAsia="仿宋" w:cs="仿宋"/>
          <w:sz w:val="28"/>
          <w:szCs w:val="28"/>
          <w:lang w:eastAsia="zh-CN"/>
        </w:rPr>
        <w:t>2022年疫情防控资金项目</w:t>
      </w:r>
      <w:r>
        <w:rPr>
          <w:rFonts w:hint="eastAsia" w:ascii="仿宋" w:hAnsi="仿宋" w:eastAsia="仿宋" w:cs="仿宋"/>
          <w:kern w:val="0"/>
          <w:sz w:val="28"/>
          <w:szCs w:val="28"/>
          <w:lang w:eastAsia="zh-CN"/>
        </w:rPr>
        <w:t>根据疫情情况开展全员核酸检测工作做得</w:t>
      </w:r>
      <w:r>
        <w:rPr>
          <w:rFonts w:hint="eastAsia" w:ascii="仿宋" w:hAnsi="仿宋" w:eastAsia="仿宋" w:cs="仿宋"/>
          <w:sz w:val="28"/>
          <w:szCs w:val="28"/>
          <w:lang w:eastAsia="zh-CN"/>
        </w:rPr>
        <w:t>怎么样吗</w:t>
      </w:r>
      <w:r>
        <w:rPr>
          <w:rFonts w:hint="eastAsia" w:ascii="仿宋" w:hAnsi="仿宋" w:eastAsia="仿宋" w:cs="仿宋"/>
          <w:sz w:val="28"/>
          <w:szCs w:val="28"/>
        </w:rPr>
        <w:t>？（ ）</w:t>
      </w:r>
    </w:p>
    <w:p>
      <w:pPr>
        <w:spacing w:line="574"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很</w:t>
      </w:r>
      <w:r>
        <w:rPr>
          <w:rFonts w:hint="eastAsia" w:ascii="仿宋" w:hAnsi="仿宋" w:eastAsia="仿宋" w:cs="仿宋"/>
          <w:sz w:val="28"/>
          <w:szCs w:val="28"/>
          <w:lang w:eastAsia="zh-CN"/>
        </w:rPr>
        <w:t>好</w:t>
      </w:r>
      <w:r>
        <w:rPr>
          <w:rFonts w:hint="eastAsia" w:ascii="仿宋" w:hAnsi="仿宋" w:eastAsia="仿宋" w:cs="仿宋"/>
          <w:sz w:val="28"/>
          <w:szCs w:val="28"/>
        </w:rPr>
        <w:t xml:space="preserve">  B、较</w:t>
      </w:r>
      <w:r>
        <w:rPr>
          <w:rFonts w:hint="eastAsia" w:ascii="仿宋" w:hAnsi="仿宋" w:eastAsia="仿宋" w:cs="仿宋"/>
          <w:sz w:val="28"/>
          <w:szCs w:val="28"/>
          <w:lang w:eastAsia="zh-CN"/>
        </w:rPr>
        <w:t>好</w:t>
      </w:r>
      <w:r>
        <w:rPr>
          <w:rFonts w:hint="eastAsia" w:ascii="仿宋" w:hAnsi="仿宋" w:eastAsia="仿宋" w:cs="仿宋"/>
          <w:sz w:val="28"/>
          <w:szCs w:val="28"/>
        </w:rPr>
        <w:t xml:space="preserve">   C、一般  D、</w:t>
      </w:r>
      <w:r>
        <w:rPr>
          <w:rFonts w:hint="eastAsia" w:ascii="仿宋" w:hAnsi="仿宋" w:eastAsia="仿宋" w:cs="仿宋"/>
          <w:sz w:val="28"/>
          <w:szCs w:val="28"/>
          <w:lang w:eastAsia="zh-CN"/>
        </w:rPr>
        <w:t>基本没有改善</w:t>
      </w:r>
      <w:r>
        <w:rPr>
          <w:rFonts w:hint="eastAsia" w:ascii="仿宋" w:hAnsi="仿宋" w:eastAsia="仿宋" w:cs="仿宋"/>
          <w:sz w:val="28"/>
          <w:szCs w:val="28"/>
        </w:rPr>
        <w:t xml:space="preserve">  E、</w:t>
      </w:r>
      <w:r>
        <w:rPr>
          <w:rFonts w:hint="eastAsia" w:ascii="仿宋" w:hAnsi="仿宋" w:eastAsia="仿宋" w:cs="仿宋"/>
          <w:sz w:val="28"/>
          <w:szCs w:val="28"/>
          <w:lang w:eastAsia="zh-CN"/>
        </w:rPr>
        <w:t>变差</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cs="仿宋"/>
          <w:sz w:val="28"/>
          <w:szCs w:val="28"/>
          <w:lang w:eastAsia="zh-CN"/>
        </w:rPr>
        <w:t>你</w:t>
      </w:r>
      <w:r>
        <w:rPr>
          <w:rFonts w:hint="eastAsia" w:ascii="仿宋" w:hAnsi="仿宋" w:eastAsia="仿宋" w:cs="仿宋"/>
          <w:sz w:val="28"/>
          <w:szCs w:val="28"/>
        </w:rPr>
        <w:t>认为</w:t>
      </w:r>
      <w:r>
        <w:rPr>
          <w:rFonts w:hint="eastAsia" w:ascii="仿宋" w:hAnsi="仿宋" w:eastAsia="仿宋" w:cs="仿宋"/>
          <w:sz w:val="28"/>
          <w:szCs w:val="28"/>
          <w:lang w:eastAsia="zh-CN"/>
        </w:rPr>
        <w:t>2022年疫情防控资金项目对本地疫情外防输入、内防反弹起到的作用</w:t>
      </w:r>
      <w:r>
        <w:rPr>
          <w:rFonts w:hint="eastAsia" w:ascii="仿宋" w:hAnsi="仿宋" w:eastAsia="仿宋" w:cs="仿宋"/>
          <w:kern w:val="0"/>
          <w:sz w:val="28"/>
          <w:szCs w:val="28"/>
          <w:lang w:eastAsia="zh-CN"/>
        </w:rPr>
        <w:t>满意</w:t>
      </w:r>
      <w:r>
        <w:rPr>
          <w:rFonts w:hint="eastAsia" w:ascii="仿宋" w:hAnsi="仿宋" w:eastAsia="仿宋" w:cs="仿宋"/>
          <w:sz w:val="28"/>
          <w:szCs w:val="28"/>
        </w:rPr>
        <w:t>吗？（ ）</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 xml:space="preserve">非常满意   B、比较满意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C、基本满意</w:t>
      </w:r>
    </w:p>
    <w:p>
      <w:pPr>
        <w:spacing w:line="574"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D</w:t>
      </w:r>
      <w:r>
        <w:rPr>
          <w:rFonts w:hint="eastAsia" w:ascii="仿宋" w:hAnsi="仿宋" w:cs="仿宋"/>
          <w:sz w:val="28"/>
          <w:szCs w:val="28"/>
          <w:lang w:eastAsia="zh-CN"/>
        </w:rPr>
        <w:t>.</w:t>
      </w:r>
      <w:r>
        <w:rPr>
          <w:rFonts w:hint="eastAsia" w:ascii="仿宋" w:hAnsi="仿宋" w:eastAsia="仿宋" w:cs="仿宋"/>
          <w:sz w:val="28"/>
          <w:szCs w:val="28"/>
        </w:rPr>
        <w:t xml:space="preserve">不太满意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E、非常不满意</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cs="仿宋"/>
          <w:sz w:val="28"/>
          <w:szCs w:val="28"/>
          <w:lang w:eastAsia="zh-CN"/>
        </w:rPr>
        <w:t>你</w:t>
      </w:r>
      <w:r>
        <w:rPr>
          <w:rFonts w:hint="eastAsia" w:ascii="仿宋" w:hAnsi="仿宋" w:eastAsia="仿宋" w:cs="仿宋"/>
          <w:sz w:val="28"/>
          <w:szCs w:val="28"/>
        </w:rPr>
        <w:t>认</w:t>
      </w:r>
      <w:r>
        <w:rPr>
          <w:rFonts w:hint="eastAsia" w:ascii="仿宋" w:hAnsi="仿宋" w:eastAsia="仿宋" w:cs="仿宋"/>
          <w:sz w:val="28"/>
          <w:szCs w:val="28"/>
          <w:lang w:eastAsia="zh-CN"/>
        </w:rPr>
        <w:t>为2022年疫情防控资金项目对人员常驻疫情防控关卡，完成防控任务起到较大作用吗</w:t>
      </w:r>
      <w:r>
        <w:rPr>
          <w:rFonts w:hint="eastAsia" w:ascii="仿宋" w:hAnsi="仿宋" w:eastAsia="仿宋" w:cs="仿宋"/>
          <w:sz w:val="28"/>
          <w:szCs w:val="28"/>
        </w:rPr>
        <w:t>？（ ）</w:t>
      </w:r>
    </w:p>
    <w:p>
      <w:pPr>
        <w:spacing w:line="574"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很大  B、较大   C、一般  D、不明显  E、</w:t>
      </w:r>
      <w:r>
        <w:rPr>
          <w:rFonts w:hint="eastAsia" w:ascii="仿宋" w:hAnsi="仿宋" w:eastAsia="仿宋" w:cs="仿宋"/>
          <w:sz w:val="28"/>
          <w:szCs w:val="28"/>
          <w:lang w:eastAsia="zh-CN"/>
        </w:rPr>
        <w:t>无作用</w:t>
      </w:r>
    </w:p>
    <w:p>
      <w:pPr>
        <w:spacing w:line="574" w:lineRule="exact"/>
        <w:ind w:firstLine="560"/>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cs="仿宋"/>
          <w:sz w:val="28"/>
          <w:szCs w:val="28"/>
          <w:lang w:eastAsia="zh-CN"/>
        </w:rPr>
        <w:t>你</w:t>
      </w:r>
      <w:r>
        <w:rPr>
          <w:rFonts w:hint="eastAsia" w:ascii="仿宋" w:hAnsi="仿宋" w:eastAsia="仿宋" w:cs="仿宋"/>
          <w:sz w:val="28"/>
          <w:szCs w:val="28"/>
        </w:rPr>
        <w:t>认为</w:t>
      </w:r>
      <w:r>
        <w:rPr>
          <w:rFonts w:hint="eastAsia" w:ascii="仿宋" w:hAnsi="仿宋" w:eastAsia="仿宋" w:cs="仿宋"/>
          <w:sz w:val="28"/>
          <w:szCs w:val="28"/>
          <w:lang w:eastAsia="zh-CN"/>
        </w:rPr>
        <w:t>2022年疫情防控资金项目</w:t>
      </w:r>
      <w:r>
        <w:rPr>
          <w:rFonts w:hint="eastAsia" w:ascii="仿宋" w:hAnsi="仿宋" w:eastAsia="仿宋" w:cs="仿宋"/>
          <w:sz w:val="28"/>
          <w:szCs w:val="28"/>
          <w:lang w:val="en-US" w:eastAsia="zh-CN"/>
        </w:rPr>
        <w:t>采购防疫物资，保证全县疫情防控有效可控</w:t>
      </w:r>
      <w:r>
        <w:rPr>
          <w:rFonts w:hint="eastAsia" w:ascii="仿宋" w:hAnsi="仿宋" w:eastAsia="仿宋" w:cs="仿宋"/>
          <w:sz w:val="28"/>
          <w:szCs w:val="28"/>
          <w:lang w:eastAsia="zh-CN"/>
        </w:rPr>
        <w:t>起到较大作用吗</w:t>
      </w:r>
      <w:r>
        <w:rPr>
          <w:rFonts w:hint="eastAsia" w:ascii="仿宋" w:hAnsi="仿宋" w:eastAsia="仿宋" w:cs="仿宋"/>
          <w:sz w:val="28"/>
          <w:szCs w:val="28"/>
        </w:rPr>
        <w:t xml:space="preserve">？（）   </w:t>
      </w:r>
    </w:p>
    <w:p>
      <w:pPr>
        <w:spacing w:line="574"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A</w:t>
      </w:r>
      <w:r>
        <w:rPr>
          <w:rFonts w:hint="eastAsia" w:ascii="仿宋" w:hAnsi="仿宋" w:cs="仿宋"/>
          <w:sz w:val="28"/>
          <w:szCs w:val="28"/>
          <w:lang w:eastAsia="zh-CN"/>
        </w:rPr>
        <w:t>.</w:t>
      </w:r>
      <w:r>
        <w:rPr>
          <w:rFonts w:hint="eastAsia" w:ascii="仿宋" w:hAnsi="仿宋" w:eastAsia="仿宋" w:cs="仿宋"/>
          <w:sz w:val="28"/>
          <w:szCs w:val="28"/>
        </w:rPr>
        <w:t>很大  B、较大   C、一般  D、不明显  E、</w:t>
      </w:r>
      <w:r>
        <w:rPr>
          <w:rFonts w:hint="eastAsia" w:ascii="仿宋" w:hAnsi="仿宋" w:eastAsia="仿宋" w:cs="仿宋"/>
          <w:sz w:val="28"/>
          <w:szCs w:val="28"/>
          <w:lang w:eastAsia="zh-CN"/>
        </w:rPr>
        <w:t>无作用</w:t>
      </w:r>
    </w:p>
    <w:p>
      <w:pPr>
        <w:spacing w:line="574" w:lineRule="exact"/>
        <w:ind w:firstLine="560"/>
        <w:rPr>
          <w:rFonts w:hint="eastAsia" w:ascii="仿宋" w:hAnsi="仿宋" w:eastAsia="仿宋" w:cs="仿宋"/>
          <w:sz w:val="28"/>
          <w:szCs w:val="28"/>
        </w:rPr>
      </w:pPr>
    </w:p>
    <w:p>
      <w:pPr>
        <w:spacing w:line="574" w:lineRule="exact"/>
        <w:ind w:firstLine="560"/>
        <w:rPr>
          <w:rFonts w:hint="eastAsia" w:ascii="仿宋" w:hAnsi="仿宋" w:eastAsia="仿宋" w:cs="仿宋"/>
          <w:sz w:val="28"/>
          <w:szCs w:val="28"/>
        </w:rPr>
      </w:pPr>
    </w:p>
    <w:p>
      <w:pPr>
        <w:spacing w:line="574" w:lineRule="exact"/>
        <w:ind w:firstLine="560" w:firstLineChars="200"/>
        <w:rPr>
          <w:rFonts w:hint="eastAsia" w:ascii="仿宋" w:hAnsi="仿宋" w:eastAsia="仿宋" w:cs="仿宋"/>
          <w:sz w:val="28"/>
          <w:szCs w:val="28"/>
        </w:rPr>
      </w:pPr>
      <w:r>
        <w:rPr>
          <w:rFonts w:hint="eastAsia" w:ascii="仿宋" w:hAnsi="仿宋" w:cs="仿宋"/>
          <w:sz w:val="28"/>
          <w:szCs w:val="28"/>
          <w:lang w:eastAsia="zh-CN"/>
        </w:rPr>
        <w:t>你</w:t>
      </w:r>
      <w:r>
        <w:rPr>
          <w:rFonts w:hint="eastAsia" w:ascii="仿宋" w:hAnsi="仿宋" w:eastAsia="仿宋" w:cs="仿宋"/>
          <w:sz w:val="28"/>
          <w:szCs w:val="28"/>
        </w:rPr>
        <w:t>对</w:t>
      </w:r>
      <w:r>
        <w:rPr>
          <w:rFonts w:hint="eastAsia" w:ascii="仿宋" w:hAnsi="仿宋" w:eastAsia="仿宋" w:cs="仿宋"/>
          <w:sz w:val="28"/>
          <w:szCs w:val="28"/>
          <w:lang w:eastAsia="zh-CN"/>
        </w:rPr>
        <w:t>2022年疫情防控资金项目</w:t>
      </w:r>
      <w:r>
        <w:rPr>
          <w:rFonts w:hint="eastAsia" w:ascii="仿宋" w:hAnsi="仿宋" w:eastAsia="仿宋" w:cs="仿宋"/>
          <w:sz w:val="28"/>
          <w:szCs w:val="28"/>
        </w:rPr>
        <w:t>工程建设有什么意见或建议？</w:t>
      </w:r>
    </w:p>
    <w:p>
      <w:pPr>
        <w:spacing w:line="574" w:lineRule="exact"/>
        <w:rPr>
          <w:rFonts w:hint="eastAsia" w:ascii="仿宋" w:hAnsi="仿宋" w:eastAsia="仿宋" w:cs="仿宋"/>
          <w:sz w:val="28"/>
          <w:szCs w:val="28"/>
          <w:u w:val="single"/>
        </w:rPr>
      </w:pPr>
      <w:r>
        <w:rPr>
          <w:rFonts w:hint="eastAsia" w:ascii="仿宋" w:hAnsi="仿宋" w:eastAsia="仿宋" w:cs="仿宋"/>
          <w:sz w:val="28"/>
          <w:szCs w:val="28"/>
          <w:u w:val="single"/>
        </w:rPr>
        <w:t xml:space="preserve">                                                          </w:t>
      </w:r>
    </w:p>
    <w:p>
      <w:pPr>
        <w:spacing w:line="574" w:lineRule="exact"/>
        <w:rPr>
          <w:rFonts w:hint="eastAsia" w:ascii="仿宋" w:hAnsi="仿宋" w:eastAsia="仿宋" w:cs="仿宋"/>
          <w:sz w:val="28"/>
          <w:szCs w:val="28"/>
          <w:u w:val="single"/>
        </w:rPr>
      </w:pPr>
      <w:r>
        <w:rPr>
          <w:rFonts w:hint="eastAsia" w:ascii="仿宋" w:hAnsi="仿宋" w:eastAsia="仿宋" w:cs="仿宋"/>
          <w:sz w:val="28"/>
          <w:szCs w:val="28"/>
          <w:u w:val="single"/>
        </w:rPr>
        <w:t xml:space="preserve">                                                                                                                   </w:t>
      </w:r>
    </w:p>
    <w:p>
      <w:pPr>
        <w:spacing w:line="574" w:lineRule="exact"/>
        <w:rPr>
          <w:rFonts w:hint="eastAsia" w:ascii="仿宋" w:hAnsi="仿宋" w:eastAsia="仿宋" w:cs="仿宋"/>
          <w:sz w:val="28"/>
          <w:szCs w:val="28"/>
          <w:u w:val="single"/>
        </w:rPr>
      </w:pPr>
      <w:r>
        <w:rPr>
          <w:rFonts w:hint="eastAsia" w:ascii="仿宋" w:hAnsi="仿宋" w:eastAsia="仿宋" w:cs="仿宋"/>
          <w:sz w:val="28"/>
          <w:szCs w:val="28"/>
          <w:u w:val="single"/>
        </w:rPr>
        <w:t xml:space="preserve">                                                          </w:t>
      </w:r>
    </w:p>
    <w:p>
      <w:pPr>
        <w:spacing w:line="574" w:lineRule="exact"/>
        <w:rPr>
          <w:rFonts w:hint="eastAsia" w:ascii="仿宋" w:hAnsi="仿宋" w:eastAsia="仿宋" w:cs="仿宋"/>
          <w:sz w:val="28"/>
          <w:szCs w:val="28"/>
          <w:u w:val="single"/>
        </w:rPr>
      </w:pPr>
      <w:r>
        <w:rPr>
          <w:rFonts w:hint="eastAsia" w:ascii="仿宋" w:hAnsi="仿宋" w:eastAsia="仿宋" w:cs="仿宋"/>
          <w:sz w:val="28"/>
          <w:szCs w:val="28"/>
          <w:u w:val="single"/>
        </w:rPr>
        <w:t xml:space="preserve">                                                         </w:t>
      </w:r>
    </w:p>
    <w:p>
      <w:pPr>
        <w:spacing w:line="574" w:lineRule="exact"/>
        <w:rPr>
          <w:rFonts w:hint="eastAsia" w:ascii="仿宋" w:hAnsi="仿宋" w:eastAsia="仿宋" w:cs="仿宋"/>
          <w:sz w:val="28"/>
          <w:szCs w:val="28"/>
          <w:u w:val="single"/>
        </w:rPr>
      </w:pPr>
    </w:p>
    <w:p>
      <w:pPr>
        <w:ind w:firstLine="0" w:firstLineChars="0"/>
        <w:rPr>
          <w:rFonts w:hint="eastAsia" w:ascii="仿宋" w:hAnsi="仿宋" w:eastAsia="仿宋" w:cs="仿宋"/>
          <w:sz w:val="28"/>
          <w:szCs w:val="28"/>
          <w:lang w:eastAsia="zh-CN"/>
        </w:rPr>
      </w:pPr>
      <w:r>
        <w:rPr>
          <w:rFonts w:hint="eastAsia" w:ascii="仿宋" w:hAnsi="仿宋" w:eastAsia="仿宋" w:cs="仿宋"/>
          <w:sz w:val="28"/>
          <w:szCs w:val="28"/>
        </w:rPr>
        <w:t>再次感谢</w:t>
      </w:r>
      <w:r>
        <w:rPr>
          <w:rFonts w:hint="eastAsia" w:ascii="仿宋" w:hAnsi="仿宋" w:cs="仿宋"/>
          <w:sz w:val="28"/>
          <w:szCs w:val="28"/>
          <w:lang w:eastAsia="zh-CN"/>
        </w:rPr>
        <w:t>你</w:t>
      </w:r>
      <w:r>
        <w:rPr>
          <w:rFonts w:hint="eastAsia" w:ascii="仿宋" w:hAnsi="仿宋" w:eastAsia="仿宋" w:cs="仿宋"/>
          <w:sz w:val="28"/>
          <w:szCs w:val="28"/>
        </w:rPr>
        <w:t>的支持与配合</w:t>
      </w:r>
      <w:r>
        <w:rPr>
          <w:rFonts w:hint="eastAsia" w:ascii="仿宋" w:hAnsi="仿宋" w:cs="仿宋"/>
          <w:sz w:val="28"/>
          <w:szCs w:val="28"/>
          <w:lang w:eastAsia="zh-CN"/>
        </w:rPr>
        <w:t>！</w:t>
      </w:r>
    </w:p>
    <w:p>
      <w:pPr>
        <w:pStyle w:val="15"/>
        <w:spacing w:line="440" w:lineRule="exact"/>
        <w:ind w:firstLine="640"/>
      </w:pPr>
    </w:p>
    <w:p>
      <w:pPr>
        <w:ind w:firstLine="56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br w:type="page"/>
      </w:r>
    </w:p>
    <w:p>
      <w:pPr>
        <w:pStyle w:val="3"/>
        <w:spacing w:line="240" w:lineRule="auto"/>
        <w:ind w:firstLine="0" w:firstLineChars="0"/>
        <w:rPr>
          <w:rFonts w:ascii="仿宋" w:hAnsi="仿宋" w:cs="仿宋"/>
        </w:rPr>
      </w:pPr>
      <w:bookmarkStart w:id="50" w:name="_Toc13930"/>
      <w:r>
        <w:rPr>
          <w:rFonts w:hint="eastAsia" w:ascii="仿宋" w:hAnsi="仿宋" w:cs="仿宋"/>
        </w:rPr>
        <w:t>附件</w:t>
      </w:r>
      <w:r>
        <w:rPr>
          <w:rFonts w:hint="eastAsia" w:ascii="仿宋" w:hAnsi="仿宋" w:cs="仿宋"/>
          <w:lang w:eastAsia="zh-CN"/>
        </w:rPr>
        <w:t>四</w:t>
      </w:r>
      <w:r>
        <w:rPr>
          <w:rFonts w:hint="eastAsia" w:ascii="仿宋" w:hAnsi="仿宋" w:cs="仿宋"/>
        </w:rPr>
        <w:t>：绩效评价组情况</w:t>
      </w:r>
      <w:bookmarkEnd w:id="50"/>
    </w:p>
    <w:p>
      <w:pPr>
        <w:autoSpaceDE w:val="0"/>
        <w:autoSpaceDN w:val="0"/>
        <w:adjustRightInd w:val="0"/>
        <w:ind w:firstLine="560"/>
        <w:jc w:val="left"/>
        <w:rPr>
          <w:rFonts w:hint="default" w:ascii="仿宋" w:hAnsi="仿宋" w:eastAsia="仿宋" w:cs="仿宋"/>
          <w:kern w:val="0"/>
          <w:szCs w:val="28"/>
          <w:lang w:val="en-US" w:eastAsia="zh-CN"/>
        </w:rPr>
      </w:pPr>
      <w:r>
        <w:rPr>
          <w:rFonts w:hint="eastAsia" w:ascii="仿宋" w:hAnsi="仿宋" w:cs="仿宋"/>
          <w:kern w:val="0"/>
          <w:szCs w:val="28"/>
        </w:rPr>
        <w:t>项目组分为内勤和外勤。</w:t>
      </w:r>
      <w:r>
        <w:rPr>
          <w:rFonts w:hint="eastAsia" w:ascii="仿宋" w:hAnsi="仿宋" w:cs="仿宋"/>
          <w:kern w:val="0"/>
          <w:szCs w:val="28"/>
          <w:highlight w:val="none"/>
          <w:lang w:val="en-US" w:eastAsia="zh-CN"/>
        </w:rPr>
        <w:t>项目组共4人</w:t>
      </w:r>
    </w:p>
    <w:p>
      <w:pPr>
        <w:autoSpaceDE w:val="0"/>
        <w:autoSpaceDN w:val="0"/>
        <w:adjustRightInd w:val="0"/>
        <w:ind w:firstLine="560"/>
        <w:jc w:val="left"/>
        <w:rPr>
          <w:rFonts w:ascii="仿宋" w:hAnsi="仿宋" w:cs="仿宋"/>
          <w:kern w:val="0"/>
          <w:szCs w:val="28"/>
        </w:rPr>
      </w:pPr>
      <w:r>
        <w:rPr>
          <w:rFonts w:hint="eastAsia" w:ascii="仿宋" w:hAnsi="仿宋" w:cs="仿宋"/>
          <w:kern w:val="0"/>
          <w:szCs w:val="28"/>
        </w:rPr>
        <w:t>内勤：主要负责评价方案的制定，评价人员的组织培训、实施过程的组织协调和督导、报告的撰写等。</w:t>
      </w:r>
    </w:p>
    <w:p>
      <w:pPr>
        <w:autoSpaceDE w:val="0"/>
        <w:autoSpaceDN w:val="0"/>
        <w:adjustRightInd w:val="0"/>
        <w:ind w:firstLine="560"/>
        <w:jc w:val="left"/>
        <w:rPr>
          <w:rFonts w:ascii="仿宋" w:hAnsi="仿宋" w:cs="仿宋"/>
          <w:kern w:val="0"/>
          <w:szCs w:val="28"/>
        </w:rPr>
      </w:pPr>
      <w:r>
        <w:rPr>
          <w:rFonts w:hint="eastAsia" w:ascii="仿宋" w:hAnsi="仿宋" w:cs="仿宋"/>
          <w:kern w:val="0"/>
          <w:szCs w:val="28"/>
        </w:rPr>
        <w:t>外勤：主要负责</w:t>
      </w:r>
      <w:r>
        <w:rPr>
          <w:rFonts w:hint="eastAsia" w:ascii="仿宋" w:hAnsi="仿宋" w:cs="仿宋"/>
          <w:kern w:val="0"/>
          <w:szCs w:val="28"/>
          <w:lang w:eastAsia="zh-CN"/>
        </w:rPr>
        <w:t>现场勘查</w:t>
      </w:r>
      <w:r>
        <w:rPr>
          <w:rFonts w:hint="eastAsia" w:ascii="仿宋" w:hAnsi="仿宋" w:cs="仿宋"/>
          <w:kern w:val="0"/>
          <w:szCs w:val="28"/>
        </w:rPr>
        <w:t>，包括查阅收集相关的制度文件、财务资料，开展问卷调查，撰写社会调查报告等工作。</w:t>
      </w:r>
    </w:p>
    <w:p>
      <w:pPr>
        <w:pStyle w:val="15"/>
        <w:ind w:firstLine="562"/>
        <w:rPr>
          <w:rFonts w:ascii="仿宋" w:hAnsi="仿宋" w:eastAsia="仿宋" w:cs="仿宋"/>
          <w:sz w:val="28"/>
          <w:szCs w:val="28"/>
        </w:rPr>
      </w:pPr>
    </w:p>
    <w:p>
      <w:pPr>
        <w:ind w:firstLine="560"/>
        <w:rPr>
          <w:rFonts w:ascii="仿宋" w:hAnsi="仿宋" w:cs="仿宋"/>
          <w:kern w:val="0"/>
          <w:szCs w:val="28"/>
        </w:rPr>
      </w:pPr>
    </w:p>
    <w:p>
      <w:pPr>
        <w:pStyle w:val="15"/>
        <w:ind w:firstLine="562"/>
        <w:rPr>
          <w:rFonts w:ascii="仿宋" w:hAnsi="仿宋" w:eastAsia="仿宋" w:cs="仿宋"/>
          <w:sz w:val="28"/>
          <w:szCs w:val="28"/>
        </w:rPr>
      </w:pPr>
    </w:p>
    <w:p>
      <w:pPr>
        <w:ind w:firstLine="560"/>
        <w:rPr>
          <w:rFonts w:ascii="仿宋" w:hAnsi="仿宋" w:cs="仿宋"/>
          <w:kern w:val="0"/>
          <w:szCs w:val="28"/>
        </w:rPr>
      </w:pPr>
    </w:p>
    <w:p>
      <w:pPr>
        <w:pStyle w:val="15"/>
        <w:ind w:firstLine="562"/>
        <w:rPr>
          <w:rFonts w:ascii="仿宋" w:hAnsi="仿宋" w:eastAsia="仿宋" w:cs="仿宋"/>
          <w:sz w:val="28"/>
          <w:szCs w:val="28"/>
        </w:rPr>
      </w:pPr>
    </w:p>
    <w:p>
      <w:pPr>
        <w:ind w:firstLine="560"/>
        <w:rPr>
          <w:rFonts w:ascii="仿宋" w:hAnsi="仿宋" w:cs="仿宋"/>
          <w:kern w:val="0"/>
          <w:szCs w:val="28"/>
        </w:rPr>
      </w:pPr>
    </w:p>
    <w:p>
      <w:pPr>
        <w:pStyle w:val="15"/>
        <w:ind w:firstLine="562"/>
        <w:rPr>
          <w:rFonts w:ascii="仿宋" w:hAnsi="仿宋" w:eastAsia="仿宋" w:cs="仿宋"/>
          <w:sz w:val="28"/>
          <w:szCs w:val="28"/>
        </w:rPr>
      </w:pPr>
    </w:p>
    <w:p>
      <w:pPr>
        <w:ind w:firstLine="560"/>
        <w:rPr>
          <w:rFonts w:ascii="仿宋" w:hAnsi="仿宋" w:cs="仿宋"/>
          <w:kern w:val="0"/>
          <w:szCs w:val="28"/>
        </w:rPr>
      </w:pPr>
    </w:p>
    <w:p>
      <w:pPr>
        <w:pStyle w:val="15"/>
        <w:ind w:firstLine="562"/>
        <w:rPr>
          <w:rFonts w:ascii="仿宋" w:hAnsi="仿宋" w:eastAsia="仿宋" w:cs="仿宋"/>
          <w:sz w:val="28"/>
          <w:szCs w:val="28"/>
        </w:rPr>
      </w:pPr>
    </w:p>
    <w:p>
      <w:pPr>
        <w:ind w:firstLine="560"/>
        <w:rPr>
          <w:rFonts w:ascii="仿宋" w:hAnsi="仿宋" w:cs="仿宋"/>
          <w:kern w:val="0"/>
          <w:szCs w:val="28"/>
        </w:rPr>
      </w:pPr>
    </w:p>
    <w:p>
      <w:pPr>
        <w:pStyle w:val="15"/>
        <w:ind w:firstLine="562"/>
        <w:rPr>
          <w:rFonts w:ascii="仿宋" w:hAnsi="仿宋" w:eastAsia="仿宋" w:cs="仿宋"/>
          <w:sz w:val="28"/>
          <w:szCs w:val="28"/>
        </w:rPr>
      </w:pPr>
    </w:p>
    <w:p>
      <w:pPr>
        <w:pStyle w:val="15"/>
        <w:ind w:firstLine="0" w:firstLineChars="0"/>
        <w:jc w:val="both"/>
        <w:rPr>
          <w:rFonts w:ascii="仿宋" w:hAnsi="仿宋" w:eastAsia="仿宋" w:cs="仿宋"/>
          <w:sz w:val="28"/>
          <w:szCs w:val="28"/>
        </w:rPr>
      </w:pPr>
    </w:p>
    <w:p>
      <w:pPr>
        <w:rPr>
          <w:rFonts w:ascii="仿宋" w:hAnsi="仿宋" w:eastAsia="仿宋" w:cs="仿宋"/>
          <w:sz w:val="28"/>
          <w:szCs w:val="28"/>
        </w:rPr>
      </w:pPr>
    </w:p>
    <w:p>
      <w:pPr>
        <w:pStyle w:val="3"/>
        <w:spacing w:line="240" w:lineRule="auto"/>
        <w:ind w:firstLine="0" w:firstLineChars="0"/>
        <w:rPr>
          <w:rFonts w:hint="eastAsia" w:ascii="仿宋" w:hAnsi="仿宋" w:cs="仿宋"/>
          <w:lang w:eastAsia="zh-CN"/>
        </w:rPr>
      </w:pPr>
      <w:bookmarkStart w:id="51" w:name="_Toc7499"/>
      <w:r>
        <w:rPr>
          <w:rFonts w:hint="eastAsia" w:ascii="仿宋" w:hAnsi="仿宋" w:cs="仿宋"/>
        </w:rPr>
        <w:t>附件</w:t>
      </w:r>
      <w:r>
        <w:rPr>
          <w:rFonts w:hint="eastAsia" w:ascii="仿宋" w:hAnsi="仿宋" w:cs="仿宋"/>
          <w:lang w:eastAsia="zh-CN"/>
        </w:rPr>
        <w:t>五</w:t>
      </w:r>
      <w:r>
        <w:rPr>
          <w:rFonts w:hint="eastAsia" w:ascii="仿宋" w:hAnsi="仿宋" w:cs="仿宋"/>
        </w:rPr>
        <w:t>：</w:t>
      </w:r>
      <w:r>
        <w:rPr>
          <w:rFonts w:hint="eastAsia" w:ascii="仿宋" w:hAnsi="仿宋" w:cs="仿宋"/>
          <w:lang w:eastAsia="zh-CN"/>
        </w:rPr>
        <w:t>现场勘察照片</w:t>
      </w:r>
    </w:p>
    <w:p>
      <w:pPr>
        <w:rPr>
          <w:rFonts w:hint="eastAsia" w:ascii="仿宋" w:hAnsi="仿宋" w:cs="仿宋"/>
          <w:lang w:eastAsia="zh-CN"/>
        </w:rPr>
      </w:pPr>
      <w:r>
        <w:rPr>
          <w:rFonts w:hint="eastAsia" w:ascii="仿宋" w:hAnsi="仿宋" w:cs="仿宋"/>
          <w:lang w:val="en-US" w:eastAsia="zh-CN"/>
        </w:rPr>
        <w:t>PCR实验室</w:t>
      </w:r>
    </w:p>
    <w:p>
      <w:pPr>
        <w:rPr>
          <w:rFonts w:hint="eastAsia" w:ascii="仿宋" w:hAnsi="仿宋" w:cs="仿宋"/>
          <w:lang w:eastAsia="zh-CN"/>
        </w:rPr>
      </w:pPr>
      <w:r>
        <w:rPr>
          <w:rFonts w:hint="eastAsia" w:ascii="仿宋" w:hAnsi="仿宋" w:cs="仿宋"/>
          <w:lang w:eastAsia="zh-CN"/>
        </w:rPr>
        <w:drawing>
          <wp:inline distT="0" distB="0" distL="114300" distR="114300">
            <wp:extent cx="4729480" cy="5756910"/>
            <wp:effectExtent l="0" t="0" r="13970" b="15240"/>
            <wp:docPr id="4" name="图片 4" descr="4971e4c330a58f9291f9e9040695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71e4c330a58f9291f9e9040695a47"/>
                    <pic:cNvPicPr>
                      <a:picLocks noChangeAspect="1"/>
                    </pic:cNvPicPr>
                  </pic:nvPicPr>
                  <pic:blipFill>
                    <a:blip r:embed="rId18"/>
                    <a:stretch>
                      <a:fillRect/>
                    </a:stretch>
                  </pic:blipFill>
                  <pic:spPr>
                    <a:xfrm>
                      <a:off x="0" y="0"/>
                      <a:ext cx="4729480" cy="5756910"/>
                    </a:xfrm>
                    <a:prstGeom prst="rect">
                      <a:avLst/>
                    </a:prstGeom>
                  </pic:spPr>
                </pic:pic>
              </a:graphicData>
            </a:graphic>
          </wp:inline>
        </w:drawing>
      </w: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r>
        <w:rPr>
          <w:rFonts w:hint="eastAsia" w:ascii="仿宋" w:hAnsi="仿宋" w:cs="仿宋"/>
          <w:lang w:eastAsia="zh-CN"/>
        </w:rPr>
        <w:t>移动核酸检测车</w:t>
      </w:r>
    </w:p>
    <w:p>
      <w:pPr>
        <w:rPr>
          <w:rFonts w:hint="eastAsia" w:ascii="仿宋" w:hAnsi="仿宋" w:cs="仿宋"/>
          <w:lang w:eastAsia="zh-CN"/>
        </w:rPr>
      </w:pPr>
      <w:r>
        <w:rPr>
          <w:rFonts w:hint="eastAsia" w:ascii="仿宋" w:hAnsi="仿宋" w:cs="仿宋"/>
          <w:lang w:eastAsia="zh-CN"/>
        </w:rPr>
        <w:drawing>
          <wp:inline distT="0" distB="0" distL="114300" distR="114300">
            <wp:extent cx="5265420" cy="2426335"/>
            <wp:effectExtent l="0" t="0" r="11430" b="12065"/>
            <wp:docPr id="6" name="图片 6" descr="dce7e6448a9ed733cc4f0c4ce39f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e7e6448a9ed733cc4f0c4ce39fc75"/>
                    <pic:cNvPicPr>
                      <a:picLocks noChangeAspect="1"/>
                    </pic:cNvPicPr>
                  </pic:nvPicPr>
                  <pic:blipFill>
                    <a:blip r:embed="rId19"/>
                    <a:stretch>
                      <a:fillRect/>
                    </a:stretch>
                  </pic:blipFill>
                  <pic:spPr>
                    <a:xfrm>
                      <a:off x="0" y="0"/>
                      <a:ext cx="5265420" cy="2426335"/>
                    </a:xfrm>
                    <a:prstGeom prst="rect">
                      <a:avLst/>
                    </a:prstGeom>
                  </pic:spPr>
                </pic:pic>
              </a:graphicData>
            </a:graphic>
          </wp:inline>
        </w:drawing>
      </w:r>
    </w:p>
    <w:p>
      <w:pPr>
        <w:rPr>
          <w:rFonts w:hint="eastAsia" w:ascii="仿宋" w:hAnsi="仿宋" w:cs="仿宋"/>
          <w:lang w:eastAsia="zh-CN"/>
        </w:rPr>
      </w:pPr>
      <w:r>
        <w:rPr>
          <w:rFonts w:hint="eastAsia" w:ascii="仿宋" w:hAnsi="仿宋" w:cs="仿宋"/>
          <w:lang w:eastAsia="zh-CN"/>
        </w:rPr>
        <w:t>救护车</w:t>
      </w:r>
    </w:p>
    <w:p>
      <w:pPr>
        <w:rPr>
          <w:rFonts w:hint="eastAsia" w:ascii="仿宋" w:hAnsi="仿宋" w:cs="仿宋"/>
          <w:lang w:eastAsia="zh-CN"/>
        </w:rPr>
      </w:pPr>
      <w:r>
        <w:rPr>
          <w:rFonts w:hint="eastAsia" w:ascii="仿宋" w:hAnsi="仿宋" w:cs="仿宋"/>
          <w:lang w:eastAsia="zh-CN"/>
        </w:rPr>
        <w:drawing>
          <wp:inline distT="0" distB="0" distL="114300" distR="114300">
            <wp:extent cx="3799205" cy="4373880"/>
            <wp:effectExtent l="0" t="0" r="10795" b="7620"/>
            <wp:docPr id="7" name="图片 7" descr="微信图片_2023080715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807154106"/>
                    <pic:cNvPicPr>
                      <a:picLocks noChangeAspect="1"/>
                    </pic:cNvPicPr>
                  </pic:nvPicPr>
                  <pic:blipFill>
                    <a:blip r:embed="rId20"/>
                    <a:stretch>
                      <a:fillRect/>
                    </a:stretch>
                  </pic:blipFill>
                  <pic:spPr>
                    <a:xfrm>
                      <a:off x="0" y="0"/>
                      <a:ext cx="3799205" cy="4373880"/>
                    </a:xfrm>
                    <a:prstGeom prst="rect">
                      <a:avLst/>
                    </a:prstGeom>
                  </pic:spPr>
                </pic:pic>
              </a:graphicData>
            </a:graphic>
          </wp:inline>
        </w:drawing>
      </w:r>
      <w:r>
        <w:rPr>
          <w:rFonts w:hint="eastAsia" w:ascii="仿宋" w:hAnsi="仿宋" w:cs="仿宋"/>
          <w:lang w:eastAsia="zh-CN"/>
        </w:rPr>
        <w:drawing>
          <wp:inline distT="0" distB="0" distL="114300" distR="114300">
            <wp:extent cx="5232400" cy="3924300"/>
            <wp:effectExtent l="0" t="0" r="6350" b="0"/>
            <wp:docPr id="9" name="图片 9" descr="微信图片_202308071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07154203"/>
                    <pic:cNvPicPr>
                      <a:picLocks noChangeAspect="1"/>
                    </pic:cNvPicPr>
                  </pic:nvPicPr>
                  <pic:blipFill>
                    <a:blip r:embed="rId21"/>
                    <a:stretch>
                      <a:fillRect/>
                    </a:stretch>
                  </pic:blipFill>
                  <pic:spPr>
                    <a:xfrm>
                      <a:off x="0" y="0"/>
                      <a:ext cx="5232400" cy="3924300"/>
                    </a:xfrm>
                    <a:prstGeom prst="rect">
                      <a:avLst/>
                    </a:prstGeom>
                  </pic:spPr>
                </pic:pic>
              </a:graphicData>
            </a:graphic>
          </wp:inline>
        </w:drawing>
      </w:r>
    </w:p>
    <w:p>
      <w:pPr>
        <w:rPr>
          <w:rFonts w:hint="eastAsia" w:ascii="仿宋" w:hAnsi="仿宋" w:cs="仿宋"/>
          <w:lang w:eastAsia="zh-CN"/>
        </w:rPr>
      </w:pPr>
    </w:p>
    <w:p>
      <w:pPr>
        <w:ind w:left="0" w:leftChars="0" w:firstLine="0" w:firstLineChars="0"/>
        <w:rPr>
          <w:rFonts w:hint="eastAsia" w:ascii="仿宋" w:hAnsi="仿宋" w:cs="仿宋"/>
          <w:lang w:eastAsia="zh-CN"/>
        </w:rPr>
      </w:pPr>
      <w:r>
        <w:rPr>
          <w:rFonts w:hint="eastAsia" w:ascii="仿宋" w:hAnsi="仿宋" w:cs="仿宋"/>
          <w:lang w:eastAsia="zh-CN"/>
        </w:rPr>
        <w:t>发热门诊暨核酸检测用房</w:t>
      </w:r>
    </w:p>
    <w:p>
      <w:pPr>
        <w:ind w:left="0" w:leftChars="0" w:firstLine="0" w:firstLineChars="0"/>
        <w:rPr>
          <w:rFonts w:hint="eastAsia" w:ascii="仿宋" w:hAnsi="仿宋" w:cs="仿宋"/>
          <w:lang w:eastAsia="zh-CN"/>
        </w:rPr>
      </w:pPr>
      <w:r>
        <w:rPr>
          <w:rFonts w:hint="eastAsia" w:ascii="仿宋" w:hAnsi="仿宋" w:cs="仿宋"/>
          <w:lang w:eastAsia="zh-CN"/>
        </w:rPr>
        <w:drawing>
          <wp:inline distT="0" distB="0" distL="114300" distR="114300">
            <wp:extent cx="5273040" cy="3559175"/>
            <wp:effectExtent l="0" t="0" r="3810" b="3175"/>
            <wp:docPr id="10" name="图片 10" descr="0b50d8f259a2c9ad929a9bcfb6c2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50d8f259a2c9ad929a9bcfb6c220d"/>
                    <pic:cNvPicPr>
                      <a:picLocks noChangeAspect="1"/>
                    </pic:cNvPicPr>
                  </pic:nvPicPr>
                  <pic:blipFill>
                    <a:blip r:embed="rId22"/>
                    <a:stretch>
                      <a:fillRect/>
                    </a:stretch>
                  </pic:blipFill>
                  <pic:spPr>
                    <a:xfrm>
                      <a:off x="0" y="0"/>
                      <a:ext cx="5273040" cy="3559175"/>
                    </a:xfrm>
                    <a:prstGeom prst="rect">
                      <a:avLst/>
                    </a:prstGeom>
                  </pic:spPr>
                </pic:pic>
              </a:graphicData>
            </a:graphic>
          </wp:inline>
        </w:drawing>
      </w:r>
    </w:p>
    <w:p>
      <w:pPr>
        <w:pStyle w:val="3"/>
        <w:spacing w:line="240" w:lineRule="auto"/>
        <w:ind w:firstLine="0" w:firstLineChars="0"/>
        <w:rPr>
          <w:rFonts w:hint="eastAsia" w:ascii="仿宋" w:hAnsi="仿宋" w:cs="仿宋"/>
        </w:rPr>
      </w:pPr>
      <w:r>
        <w:rPr>
          <w:rFonts w:hint="eastAsia" w:ascii="仿宋" w:hAnsi="仿宋" w:cs="仿宋"/>
        </w:rPr>
        <w:t>附件六：评价机构营业执照、执业证书</w:t>
      </w:r>
      <w:bookmarkEnd w:id="51"/>
    </w:p>
    <w:p>
      <w:pPr>
        <w:rPr>
          <w:rFonts w:hint="eastAsia"/>
        </w:rPr>
      </w:pPr>
      <w:r>
        <w:rPr>
          <w:rFonts w:hint="eastAsia"/>
        </w:rPr>
        <w:drawing>
          <wp:inline distT="0" distB="0" distL="114300" distR="114300">
            <wp:extent cx="5268595" cy="7450455"/>
            <wp:effectExtent l="0" t="0" r="8255" b="17145"/>
            <wp:docPr id="17" name="图片 1" descr="4ae4d2f0c35273dea45147666114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4ae4d2f0c35273dea451476661142d3"/>
                    <pic:cNvPicPr>
                      <a:picLocks noChangeAspect="1"/>
                    </pic:cNvPicPr>
                  </pic:nvPicPr>
                  <pic:blipFill>
                    <a:blip r:embed="rId23"/>
                    <a:stretch>
                      <a:fillRect/>
                    </a:stretch>
                  </pic:blipFill>
                  <pic:spPr>
                    <a:xfrm>
                      <a:off x="0" y="0"/>
                      <a:ext cx="5268595" cy="7450455"/>
                    </a:xfrm>
                    <a:prstGeom prst="rect">
                      <a:avLst/>
                    </a:prstGeom>
                    <a:noFill/>
                    <a:ln>
                      <a:noFill/>
                    </a:ln>
                  </pic:spPr>
                </pic:pic>
              </a:graphicData>
            </a:graphic>
          </wp:inline>
        </w:drawing>
      </w:r>
      <w:r>
        <w:rPr>
          <w:rFonts w:hint="eastAsia"/>
        </w:rPr>
        <w:drawing>
          <wp:inline distT="0" distB="0" distL="114300" distR="114300">
            <wp:extent cx="7329805" cy="5182235"/>
            <wp:effectExtent l="0" t="0" r="18415" b="4445"/>
            <wp:docPr id="8" name="图片 2" descr="6a5e89cb4297a08f2dad544eb5a8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6a5e89cb4297a08f2dad544eb5a86a7"/>
                    <pic:cNvPicPr>
                      <a:picLocks noChangeAspect="1"/>
                    </pic:cNvPicPr>
                  </pic:nvPicPr>
                  <pic:blipFill>
                    <a:blip r:embed="rId24"/>
                    <a:stretch>
                      <a:fillRect/>
                    </a:stretch>
                  </pic:blipFill>
                  <pic:spPr>
                    <a:xfrm rot="-5400000">
                      <a:off x="0" y="0"/>
                      <a:ext cx="7329805" cy="5182235"/>
                    </a:xfrm>
                    <a:prstGeom prst="rect">
                      <a:avLst/>
                    </a:prstGeom>
                    <a:noFill/>
                    <a:ln>
                      <a:noFill/>
                    </a:ln>
                  </pic:spPr>
                </pic:pic>
              </a:graphicData>
            </a:graphic>
          </wp:inline>
        </w:drawing>
      </w:r>
      <w:r>
        <w:rPr>
          <w:rFonts w:hint="eastAsia"/>
        </w:rPr>
        <w:drawing>
          <wp:inline distT="0" distB="0" distL="114300" distR="114300">
            <wp:extent cx="5588000" cy="7734300"/>
            <wp:effectExtent l="0" t="0" r="12700" b="0"/>
            <wp:docPr id="13" name="图片 3" descr="1ec2573f121e5817e5dac264a44b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ec2573f121e5817e5dac264a44bad0"/>
                    <pic:cNvPicPr>
                      <a:picLocks noChangeAspect="1"/>
                    </pic:cNvPicPr>
                  </pic:nvPicPr>
                  <pic:blipFill>
                    <a:blip r:embed="rId25"/>
                    <a:stretch>
                      <a:fillRect/>
                    </a:stretch>
                  </pic:blipFill>
                  <pic:spPr>
                    <a:xfrm>
                      <a:off x="0" y="0"/>
                      <a:ext cx="5588000" cy="7734300"/>
                    </a:xfrm>
                    <a:prstGeom prst="rect">
                      <a:avLst/>
                    </a:prstGeom>
                    <a:noFill/>
                    <a:ln>
                      <a:noFill/>
                    </a:ln>
                  </pic:spPr>
                </pic:pic>
              </a:graphicData>
            </a:graphic>
          </wp:inline>
        </w:drawing>
      </w:r>
      <w:r>
        <w:rPr>
          <w:rFonts w:hint="eastAsia"/>
        </w:rPr>
        <w:drawing>
          <wp:inline distT="0" distB="0" distL="114300" distR="114300">
            <wp:extent cx="7553960" cy="5360035"/>
            <wp:effectExtent l="0" t="0" r="12065" b="8890"/>
            <wp:docPr id="15" name="图片 4" descr="f9d60ef63b2f3bbe541172f4065d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f9d60ef63b2f3bbe541172f4065d47d"/>
                    <pic:cNvPicPr>
                      <a:picLocks noChangeAspect="1"/>
                    </pic:cNvPicPr>
                  </pic:nvPicPr>
                  <pic:blipFill>
                    <a:blip r:embed="rId26"/>
                    <a:stretch>
                      <a:fillRect/>
                    </a:stretch>
                  </pic:blipFill>
                  <pic:spPr>
                    <a:xfrm rot="-5400000">
                      <a:off x="0" y="0"/>
                      <a:ext cx="7553960" cy="5360035"/>
                    </a:xfrm>
                    <a:prstGeom prst="rect">
                      <a:avLst/>
                    </a:prstGeom>
                    <a:noFill/>
                    <a:ln>
                      <a:noFill/>
                    </a:ln>
                  </pic:spPr>
                </pic:pic>
              </a:graphicData>
            </a:graphic>
          </wp:inline>
        </w:drawing>
      </w:r>
      <w:r>
        <w:rPr>
          <w:rFonts w:hint="eastAsia"/>
        </w:rPr>
        <w:drawing>
          <wp:inline distT="0" distB="0" distL="114300" distR="114300">
            <wp:extent cx="5191125" cy="8072120"/>
            <wp:effectExtent l="0" t="0" r="9525" b="5080"/>
            <wp:docPr id="16" name="图片 5" descr="c8d071959646487e7291a2d54795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8d071959646487e7291a2d547951a7"/>
                    <pic:cNvPicPr>
                      <a:picLocks noChangeAspect="1"/>
                    </pic:cNvPicPr>
                  </pic:nvPicPr>
                  <pic:blipFill>
                    <a:blip r:embed="rId27"/>
                    <a:stretch>
                      <a:fillRect/>
                    </a:stretch>
                  </pic:blipFill>
                  <pic:spPr>
                    <a:xfrm>
                      <a:off x="0" y="0"/>
                      <a:ext cx="5191125" cy="8072120"/>
                    </a:xfrm>
                    <a:prstGeom prst="rect">
                      <a:avLst/>
                    </a:prstGeom>
                    <a:noFill/>
                    <a:ln>
                      <a:noFill/>
                    </a:ln>
                  </pic:spPr>
                </pic:pic>
              </a:graphicData>
            </a:graphic>
          </wp:inline>
        </w:drawing>
      </w:r>
      <w:r>
        <w:rPr>
          <w:rFonts w:hint="eastAsia"/>
        </w:rPr>
        <w:drawing>
          <wp:inline distT="0" distB="0" distL="114300" distR="114300">
            <wp:extent cx="5180330" cy="7829550"/>
            <wp:effectExtent l="0" t="0" r="1270" b="0"/>
            <wp:docPr id="14" name="图片 6" descr="a3aa368380580c97c6ca87f38870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a3aa368380580c97c6ca87f38870b3c"/>
                    <pic:cNvPicPr>
                      <a:picLocks noChangeAspect="1"/>
                    </pic:cNvPicPr>
                  </pic:nvPicPr>
                  <pic:blipFill>
                    <a:blip r:embed="rId28"/>
                    <a:stretch>
                      <a:fillRect/>
                    </a:stretch>
                  </pic:blipFill>
                  <pic:spPr>
                    <a:xfrm>
                      <a:off x="0" y="0"/>
                      <a:ext cx="5180330" cy="7829550"/>
                    </a:xfrm>
                    <a:prstGeom prst="rect">
                      <a:avLst/>
                    </a:prstGeom>
                    <a:noFill/>
                    <a:ln>
                      <a:noFill/>
                    </a:ln>
                  </pic:spPr>
                </pic:pic>
              </a:graphicData>
            </a:graphic>
          </wp:inline>
        </w:drawing>
      </w:r>
    </w:p>
    <w:p/>
    <w:p>
      <w:pPr>
        <w:pStyle w:val="15"/>
        <w:ind w:firstLine="640"/>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B3415C-E398-4D51-B8D2-1DA743B723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150D5984-D1EC-4FFD-9A4D-153C23F9362C}"/>
  </w:font>
  <w:font w:name="方正仿宋_GB2312">
    <w:panose1 w:val="02000000000000000000"/>
    <w:charset w:val="86"/>
    <w:family w:val="auto"/>
    <w:pitch w:val="default"/>
    <w:sig w:usb0="A00002BF" w:usb1="184F6CFA" w:usb2="00000012" w:usb3="00000000" w:csb0="00040001" w:csb1="00000000"/>
    <w:embedRegular r:id="rId3" w:fontKey="{845255E9-569E-4708-B1DD-BCE4F92727D6}"/>
  </w:font>
  <w:font w:name="等线 Light">
    <w:panose1 w:val="02010600030101010101"/>
    <w:charset w:val="86"/>
    <w:family w:val="auto"/>
    <w:pitch w:val="default"/>
    <w:sig w:usb0="A00002BF" w:usb1="38CF7CFA" w:usb2="00000016" w:usb3="00000000" w:csb0="0004000F" w:csb1="00000000"/>
  </w:font>
  <w:font w:name="锦绣宋体">
    <w:panose1 w:val="02000503000000000000"/>
    <w:charset w:val="86"/>
    <w:family w:val="auto"/>
    <w:pitch w:val="default"/>
    <w:sig w:usb0="8000002F" w:usb1="084164FA" w:usb2="00000012" w:usb3="00000000" w:csb0="00040001" w:csb1="00000000"/>
    <w:embedRegular r:id="rId4" w:fontKey="{9FA3F1CD-5AFE-4BC1-B5EE-038263AFE2C1}"/>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embedRegular r:id="rId5" w:fontKey="{DF3583F4-7B63-4927-A366-C2CEFF49E0C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ind w:firstLine="360"/>
                            <w:jc w:val="right"/>
                          </w:pPr>
                          <w:r>
                            <w:fldChar w:fldCharType="begin"/>
                          </w:r>
                          <w:r>
                            <w:instrText xml:space="preserve">PAGE   \* MERGEFORMAT</w:instrText>
                          </w:r>
                          <w:r>
                            <w:fldChar w:fldCharType="separate"/>
                          </w:r>
                          <w:r>
                            <w:rPr>
                              <w:lang w:val="zh-CN"/>
                            </w:rPr>
                            <w:t>-</w:t>
                          </w:r>
                          <w:r>
                            <w:t xml:space="preserve"> 9 -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pPr>
                      <w:pStyle w:val="10"/>
                      <w:ind w:firstLine="360"/>
                      <w:jc w:val="right"/>
                    </w:pPr>
                    <w:r>
                      <w:fldChar w:fldCharType="begin"/>
                    </w:r>
                    <w:r>
                      <w:instrText xml:space="preserve">PAGE   \* MERGEFORMAT</w:instrText>
                    </w:r>
                    <w:r>
                      <w:fldChar w:fldCharType="separate"/>
                    </w:r>
                    <w:r>
                      <w:rPr>
                        <w:lang w:val="zh-CN"/>
                      </w:rPr>
                      <w:t>-</w:t>
                    </w:r>
                    <w:r>
                      <w:t xml:space="preserve"> 9 -</w:t>
                    </w:r>
                    <w:r>
                      <w:fldChar w:fldCharType="end"/>
                    </w:r>
                  </w:p>
                </w:txbxContent>
              </v:textbox>
            </v:shape>
          </w:pict>
        </mc:Fallback>
      </mc:AlternateContent>
    </w: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48335" cy="35687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8335" cy="356870"/>
                      </a:xfrm>
                      <a:prstGeom prst="rect">
                        <a:avLst/>
                      </a:prstGeom>
                      <a:noFill/>
                      <a:ln w="6350">
                        <a:noFill/>
                      </a:ln>
                    </wps:spPr>
                    <wps:txbx>
                      <w:txbxContent>
                        <w:p>
                          <w:pPr>
                            <w:pStyle w:val="10"/>
                            <w:ind w:firstLine="360"/>
                            <w:jc w:val="right"/>
                          </w:pPr>
                          <w:r>
                            <w:fldChar w:fldCharType="begin"/>
                          </w:r>
                          <w:r>
                            <w:instrText xml:space="preserve">PAGE   \* MERGEFORMAT</w:instrText>
                          </w:r>
                          <w:r>
                            <w:fldChar w:fldCharType="separate"/>
                          </w:r>
                          <w:r>
                            <w:rPr>
                              <w:lang w:val="zh-CN"/>
                            </w:rPr>
                            <w:t>13</w:t>
                          </w:r>
                          <w:r>
                            <w:fldChar w:fldCharType="end"/>
                          </w:r>
                        </w:p>
                        <w:p>
                          <w:pPr>
                            <w:ind w:firstLine="560"/>
                          </w:pPr>
                        </w:p>
                      </w:txbxContent>
                    </wps:txbx>
                    <wps:bodyPr lIns="0" tIns="0" rIns="0" bIns="0" upright="1">
                      <a:spAutoFit/>
                    </wps:bodyPr>
                  </wps:wsp>
                </a:graphicData>
              </a:graphic>
            </wp:anchor>
          </w:drawing>
        </mc:Choice>
        <mc:Fallback>
          <w:pict>
            <v:shape id="文本框 2" o:spid="_x0000_s1026" o:spt="202" type="#_x0000_t202" style="position:absolute;left:0pt;margin-top:0pt;height:28.1pt;width:51.05pt;mso-position-horizontal:center;mso-position-horizontal-relative:margin;z-index:251661312;mso-width-relative:page;mso-height-relative:page;" filled="f" stroked="f" coordsize="21600,21600" o:gfxdata="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UxxbjTAAAABAEAAA8AAAAAAAAAAQAgAAAAIgAAAGRycy9k&#10;b3ducmV2LnhtbFBLAQIUABQAAAAIAIdO4kBav86AzgEAAJQDAAAOAAAAAAAAAAEAIAAAACIBAABk&#10;cnMvZTJvRG9jLnhtbFBLBQYAAAAABgAGAFkBAABiBQAAAAA=&#10;">
              <v:fill on="f" focussize="0,0"/>
              <v:stroke on="f" weight="0.5pt"/>
              <v:imagedata o:title=""/>
              <o:lock v:ext="edit" aspectratio="f"/>
              <v:textbox inset="0mm,0mm,0mm,0mm" style="mso-fit-shape-to-text:t;">
                <w:txbxContent>
                  <w:p>
                    <w:pPr>
                      <w:pStyle w:val="10"/>
                      <w:ind w:firstLine="360"/>
                      <w:jc w:val="right"/>
                    </w:pPr>
                    <w:r>
                      <w:fldChar w:fldCharType="begin"/>
                    </w:r>
                    <w:r>
                      <w:instrText xml:space="preserve">PAGE   \* MERGEFORMAT</w:instrText>
                    </w:r>
                    <w:r>
                      <w:fldChar w:fldCharType="separate"/>
                    </w:r>
                    <w:r>
                      <w:rPr>
                        <w:lang w:val="zh-CN"/>
                      </w:rPr>
                      <w:t>13</w:t>
                    </w:r>
                    <w:r>
                      <w:fldChar w:fldCharType="end"/>
                    </w:r>
                  </w:p>
                  <w:p>
                    <w:pPr>
                      <w:ind w:firstLine="560"/>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luSI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GW5IjgCAABvBAAADgAAAAAAAAABACAAAAAfAQAAZHJzL2Uyb0RvYy54&#10;bWxQSwUGAAAAAAYABgBZAQAAyQUAAAAA&#10;">
              <v:fill on="f" focussize="0,0"/>
              <v:stroke on="f" weight="0.5pt"/>
              <v:imagedata o:title=""/>
              <o:lock v:ext="edit" aspectratio="f"/>
              <v:textbox inset="0mm,0mm,0mm,0mm" style="mso-fit-shape-to-text:t;">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rFonts w:hint="eastAsia"/>
      </w:rPr>
      <w:t>平陆县交通运输局2019年道路改造工程专项扶贫资金项目绩效评价报告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single" w:color="auto" w:sz="4" w:space="1"/>
        <w:right w:val="none" w:color="auto" w:sz="0" w:space="0"/>
      </w:pBdr>
      <w:ind w:firstLine="360"/>
      <w:jc w:val="right"/>
      <w:rPr>
        <w:rFonts w:asciiTheme="minorEastAsia" w:hAnsiTheme="minorEastAsia" w:eastAsiaTheme="minorEastAsia"/>
        <w:i w:val="0"/>
        <w:iCs/>
      </w:rPr>
    </w:pPr>
    <w:r>
      <w:rPr>
        <w:rFonts w:hint="eastAsia" w:asciiTheme="minorEastAsia" w:hAnsiTheme="minorEastAsia" w:eastAsiaTheme="minorEastAsia"/>
        <w:i w:val="0"/>
        <w:iCs/>
      </w:rPr>
      <w:t>平陆县2022年疫情防控项目资金绩效评价报告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73E395"/>
    <w:multiLevelType w:val="singleLevel"/>
    <w:tmpl w:val="D873E395"/>
    <w:lvl w:ilvl="0" w:tentative="0">
      <w:start w:val="4"/>
      <w:numFmt w:val="chineseCounting"/>
      <w:suff w:val="nothing"/>
      <w:lvlText w:val="%1、"/>
      <w:lvlJc w:val="left"/>
      <w:rPr>
        <w:rFonts w:hint="eastAsia"/>
      </w:rPr>
    </w:lvl>
  </w:abstractNum>
  <w:abstractNum w:abstractNumId="1">
    <w:nsid w:val="E8C29CD5"/>
    <w:multiLevelType w:val="singleLevel"/>
    <w:tmpl w:val="E8C29CD5"/>
    <w:lvl w:ilvl="0" w:tentative="0">
      <w:start w:val="2"/>
      <w:numFmt w:val="chineseCounting"/>
      <w:suff w:val="nothing"/>
      <w:lvlText w:val="（%1）"/>
      <w:lvlJc w:val="left"/>
      <w:rPr>
        <w:rFonts w:hint="eastAsia"/>
      </w:rPr>
    </w:lvl>
  </w:abstractNum>
  <w:abstractNum w:abstractNumId="2">
    <w:nsid w:val="ED832158"/>
    <w:multiLevelType w:val="singleLevel"/>
    <w:tmpl w:val="ED832158"/>
    <w:lvl w:ilvl="0" w:tentative="0">
      <w:start w:val="1"/>
      <w:numFmt w:val="decimal"/>
      <w:suff w:val="nothing"/>
      <w:lvlText w:val="%1、"/>
      <w:lvlJc w:val="left"/>
    </w:lvl>
  </w:abstractNum>
  <w:abstractNum w:abstractNumId="3">
    <w:nsid w:val="1D91E5E3"/>
    <w:multiLevelType w:val="singleLevel"/>
    <w:tmpl w:val="1D91E5E3"/>
    <w:lvl w:ilvl="0" w:tentative="0">
      <w:start w:val="1"/>
      <w:numFmt w:val="chineseCounting"/>
      <w:suff w:val="nothing"/>
      <w:lvlText w:val="%1、"/>
      <w:lvlJc w:val="left"/>
      <w:rPr>
        <w:rFonts w:hint="eastAsia"/>
      </w:rPr>
    </w:lvl>
  </w:abstractNum>
  <w:abstractNum w:abstractNumId="4">
    <w:nsid w:val="41A1394F"/>
    <w:multiLevelType w:val="singleLevel"/>
    <w:tmpl w:val="41A1394F"/>
    <w:lvl w:ilvl="0" w:tentative="0">
      <w:start w:val="2"/>
      <w:numFmt w:val="decimal"/>
      <w:suff w:val="nothing"/>
      <w:lvlText w:val="%1、"/>
      <w:lvlJc w:val="left"/>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kNzIxOWYzYjg2ZDE3ZmNhMjkxY2Q4ZWMwNmY3ZGYifQ=="/>
  </w:docVars>
  <w:rsids>
    <w:rsidRoot w:val="31F33BB6"/>
    <w:rsid w:val="00165854"/>
    <w:rsid w:val="00191F0A"/>
    <w:rsid w:val="002070D4"/>
    <w:rsid w:val="00295221"/>
    <w:rsid w:val="002D39E8"/>
    <w:rsid w:val="00460FC7"/>
    <w:rsid w:val="00542AD9"/>
    <w:rsid w:val="00792448"/>
    <w:rsid w:val="00974A89"/>
    <w:rsid w:val="00A12B2C"/>
    <w:rsid w:val="00A9186C"/>
    <w:rsid w:val="00AA649C"/>
    <w:rsid w:val="00C44F57"/>
    <w:rsid w:val="00DA1A81"/>
    <w:rsid w:val="00DA6F96"/>
    <w:rsid w:val="011F0167"/>
    <w:rsid w:val="01296D08"/>
    <w:rsid w:val="012B7112"/>
    <w:rsid w:val="013667D2"/>
    <w:rsid w:val="015E44FA"/>
    <w:rsid w:val="01815E66"/>
    <w:rsid w:val="01840D1B"/>
    <w:rsid w:val="01991F74"/>
    <w:rsid w:val="01B91EA2"/>
    <w:rsid w:val="01BC0F86"/>
    <w:rsid w:val="01E501FE"/>
    <w:rsid w:val="01F81B02"/>
    <w:rsid w:val="020039B1"/>
    <w:rsid w:val="020B5EAA"/>
    <w:rsid w:val="02214355"/>
    <w:rsid w:val="022B4841"/>
    <w:rsid w:val="025A34EF"/>
    <w:rsid w:val="02710B48"/>
    <w:rsid w:val="027C025A"/>
    <w:rsid w:val="028722B0"/>
    <w:rsid w:val="02A10580"/>
    <w:rsid w:val="02BF05E9"/>
    <w:rsid w:val="030E6BDC"/>
    <w:rsid w:val="031B4950"/>
    <w:rsid w:val="032C0C2B"/>
    <w:rsid w:val="0334179D"/>
    <w:rsid w:val="03381DAA"/>
    <w:rsid w:val="035E477F"/>
    <w:rsid w:val="037F46C7"/>
    <w:rsid w:val="03820927"/>
    <w:rsid w:val="03D447F1"/>
    <w:rsid w:val="040A7485"/>
    <w:rsid w:val="041277C9"/>
    <w:rsid w:val="041D0303"/>
    <w:rsid w:val="04231F91"/>
    <w:rsid w:val="04310753"/>
    <w:rsid w:val="043E2FCF"/>
    <w:rsid w:val="04624AA8"/>
    <w:rsid w:val="047774DA"/>
    <w:rsid w:val="047C010E"/>
    <w:rsid w:val="0483286B"/>
    <w:rsid w:val="04AE5E87"/>
    <w:rsid w:val="04B54C47"/>
    <w:rsid w:val="04B92470"/>
    <w:rsid w:val="04DD7206"/>
    <w:rsid w:val="04EE79E3"/>
    <w:rsid w:val="05103324"/>
    <w:rsid w:val="05223B17"/>
    <w:rsid w:val="05537C46"/>
    <w:rsid w:val="055C53A3"/>
    <w:rsid w:val="05611645"/>
    <w:rsid w:val="059C7336"/>
    <w:rsid w:val="05A12AE1"/>
    <w:rsid w:val="05AE3C8C"/>
    <w:rsid w:val="05B13F0C"/>
    <w:rsid w:val="05E51B98"/>
    <w:rsid w:val="062E0B03"/>
    <w:rsid w:val="0634610D"/>
    <w:rsid w:val="06406046"/>
    <w:rsid w:val="065569A6"/>
    <w:rsid w:val="06695BC6"/>
    <w:rsid w:val="066C6B63"/>
    <w:rsid w:val="068834CE"/>
    <w:rsid w:val="068979D3"/>
    <w:rsid w:val="068E5622"/>
    <w:rsid w:val="069650B2"/>
    <w:rsid w:val="06A1673A"/>
    <w:rsid w:val="06DE5C02"/>
    <w:rsid w:val="06E45555"/>
    <w:rsid w:val="06E967DE"/>
    <w:rsid w:val="06EA507B"/>
    <w:rsid w:val="06EB4B74"/>
    <w:rsid w:val="07180E0D"/>
    <w:rsid w:val="074C28D6"/>
    <w:rsid w:val="075048E6"/>
    <w:rsid w:val="076F7B8B"/>
    <w:rsid w:val="078B2DC0"/>
    <w:rsid w:val="07E436AB"/>
    <w:rsid w:val="08160614"/>
    <w:rsid w:val="082A5712"/>
    <w:rsid w:val="08385B2A"/>
    <w:rsid w:val="083A424A"/>
    <w:rsid w:val="083F0470"/>
    <w:rsid w:val="0868427F"/>
    <w:rsid w:val="086A2235"/>
    <w:rsid w:val="086C62F4"/>
    <w:rsid w:val="086E3F63"/>
    <w:rsid w:val="08813824"/>
    <w:rsid w:val="088445E1"/>
    <w:rsid w:val="0895423F"/>
    <w:rsid w:val="08A87CEB"/>
    <w:rsid w:val="08B70979"/>
    <w:rsid w:val="09125823"/>
    <w:rsid w:val="09346F9A"/>
    <w:rsid w:val="09776D37"/>
    <w:rsid w:val="09AA25D6"/>
    <w:rsid w:val="09BF4404"/>
    <w:rsid w:val="09D008F4"/>
    <w:rsid w:val="09D26617"/>
    <w:rsid w:val="09F666E9"/>
    <w:rsid w:val="0A017B11"/>
    <w:rsid w:val="0A0603AB"/>
    <w:rsid w:val="0A1A1B7E"/>
    <w:rsid w:val="0A292EFF"/>
    <w:rsid w:val="0A7715BB"/>
    <w:rsid w:val="0A846276"/>
    <w:rsid w:val="0AA05D5C"/>
    <w:rsid w:val="0ABA6013"/>
    <w:rsid w:val="0B0B7EF9"/>
    <w:rsid w:val="0B0E14AA"/>
    <w:rsid w:val="0B176C1B"/>
    <w:rsid w:val="0B25399D"/>
    <w:rsid w:val="0B5324F2"/>
    <w:rsid w:val="0B6B12E4"/>
    <w:rsid w:val="0B6D6D3E"/>
    <w:rsid w:val="0B762C72"/>
    <w:rsid w:val="0BB94900"/>
    <w:rsid w:val="0BC674E1"/>
    <w:rsid w:val="0BCA7608"/>
    <w:rsid w:val="0BCB14E8"/>
    <w:rsid w:val="0BD67303"/>
    <w:rsid w:val="0BDF66C2"/>
    <w:rsid w:val="0BE4450C"/>
    <w:rsid w:val="0C3A7374"/>
    <w:rsid w:val="0C581E6B"/>
    <w:rsid w:val="0C861E81"/>
    <w:rsid w:val="0C8734BC"/>
    <w:rsid w:val="0CAD1D81"/>
    <w:rsid w:val="0CAE43E3"/>
    <w:rsid w:val="0CB84CD9"/>
    <w:rsid w:val="0CC94289"/>
    <w:rsid w:val="0CDE37F4"/>
    <w:rsid w:val="0D2E6EC7"/>
    <w:rsid w:val="0D3C75B3"/>
    <w:rsid w:val="0D4815FF"/>
    <w:rsid w:val="0D5A25F6"/>
    <w:rsid w:val="0D7E5AF5"/>
    <w:rsid w:val="0D94421F"/>
    <w:rsid w:val="0D993627"/>
    <w:rsid w:val="0D9F096D"/>
    <w:rsid w:val="0DA67136"/>
    <w:rsid w:val="0DCE493A"/>
    <w:rsid w:val="0E1A35DD"/>
    <w:rsid w:val="0E236C2C"/>
    <w:rsid w:val="0E9D79BB"/>
    <w:rsid w:val="0EA5533D"/>
    <w:rsid w:val="0EA65FC6"/>
    <w:rsid w:val="0EB22E97"/>
    <w:rsid w:val="0ED76E50"/>
    <w:rsid w:val="0EEA326B"/>
    <w:rsid w:val="0EEB3AAE"/>
    <w:rsid w:val="0EEF6B8A"/>
    <w:rsid w:val="0F1623CB"/>
    <w:rsid w:val="0F3F03E8"/>
    <w:rsid w:val="0F562196"/>
    <w:rsid w:val="0F5769C1"/>
    <w:rsid w:val="0F7E0968"/>
    <w:rsid w:val="0F851584"/>
    <w:rsid w:val="0FA10F9D"/>
    <w:rsid w:val="0FAA3712"/>
    <w:rsid w:val="10852512"/>
    <w:rsid w:val="108969FA"/>
    <w:rsid w:val="10996516"/>
    <w:rsid w:val="10B22F62"/>
    <w:rsid w:val="10B5141D"/>
    <w:rsid w:val="10BF1358"/>
    <w:rsid w:val="10EE6305"/>
    <w:rsid w:val="10FB2D46"/>
    <w:rsid w:val="11013044"/>
    <w:rsid w:val="112E6E1B"/>
    <w:rsid w:val="113D249D"/>
    <w:rsid w:val="11491D14"/>
    <w:rsid w:val="11690AB2"/>
    <w:rsid w:val="11722FF6"/>
    <w:rsid w:val="11784B06"/>
    <w:rsid w:val="119E0EB7"/>
    <w:rsid w:val="11B22CE9"/>
    <w:rsid w:val="11B8766C"/>
    <w:rsid w:val="11DC5FE0"/>
    <w:rsid w:val="11EA22F3"/>
    <w:rsid w:val="11F82634"/>
    <w:rsid w:val="120D1D45"/>
    <w:rsid w:val="121E148B"/>
    <w:rsid w:val="12224953"/>
    <w:rsid w:val="124F6468"/>
    <w:rsid w:val="125746C5"/>
    <w:rsid w:val="12592F62"/>
    <w:rsid w:val="126A12E0"/>
    <w:rsid w:val="1288107C"/>
    <w:rsid w:val="12A0736A"/>
    <w:rsid w:val="12D52F3D"/>
    <w:rsid w:val="12E175DF"/>
    <w:rsid w:val="12FC5527"/>
    <w:rsid w:val="130A3EDA"/>
    <w:rsid w:val="130C21A6"/>
    <w:rsid w:val="13182B34"/>
    <w:rsid w:val="132101E0"/>
    <w:rsid w:val="13273427"/>
    <w:rsid w:val="13467E96"/>
    <w:rsid w:val="135E2704"/>
    <w:rsid w:val="135E4578"/>
    <w:rsid w:val="13634F0C"/>
    <w:rsid w:val="137D769D"/>
    <w:rsid w:val="13A462E6"/>
    <w:rsid w:val="13AC4D6A"/>
    <w:rsid w:val="13D92FB3"/>
    <w:rsid w:val="13DC6439"/>
    <w:rsid w:val="13FE33B8"/>
    <w:rsid w:val="1404717B"/>
    <w:rsid w:val="142F44A9"/>
    <w:rsid w:val="143827FC"/>
    <w:rsid w:val="146001D9"/>
    <w:rsid w:val="14704BF7"/>
    <w:rsid w:val="147E47F6"/>
    <w:rsid w:val="1481490C"/>
    <w:rsid w:val="1498705D"/>
    <w:rsid w:val="14A77DD1"/>
    <w:rsid w:val="14B2534F"/>
    <w:rsid w:val="14C746FF"/>
    <w:rsid w:val="14CB330D"/>
    <w:rsid w:val="14CD3E40"/>
    <w:rsid w:val="14D23A77"/>
    <w:rsid w:val="14E14503"/>
    <w:rsid w:val="155E16FE"/>
    <w:rsid w:val="156D2A9C"/>
    <w:rsid w:val="157F1D4F"/>
    <w:rsid w:val="15801184"/>
    <w:rsid w:val="159D0213"/>
    <w:rsid w:val="15BE32EB"/>
    <w:rsid w:val="15CC7E09"/>
    <w:rsid w:val="160656A2"/>
    <w:rsid w:val="16262FC9"/>
    <w:rsid w:val="162C4709"/>
    <w:rsid w:val="162D3CC0"/>
    <w:rsid w:val="1639497B"/>
    <w:rsid w:val="16452B01"/>
    <w:rsid w:val="164935E7"/>
    <w:rsid w:val="16751491"/>
    <w:rsid w:val="16802727"/>
    <w:rsid w:val="16AE7C16"/>
    <w:rsid w:val="16AF321A"/>
    <w:rsid w:val="16B7489A"/>
    <w:rsid w:val="16DF3768"/>
    <w:rsid w:val="16E41400"/>
    <w:rsid w:val="16F844E1"/>
    <w:rsid w:val="16FF0922"/>
    <w:rsid w:val="170F6D16"/>
    <w:rsid w:val="171E0FFC"/>
    <w:rsid w:val="173272C5"/>
    <w:rsid w:val="173D5339"/>
    <w:rsid w:val="1749768E"/>
    <w:rsid w:val="176066E2"/>
    <w:rsid w:val="179411D3"/>
    <w:rsid w:val="1797132A"/>
    <w:rsid w:val="179978B8"/>
    <w:rsid w:val="17B2570C"/>
    <w:rsid w:val="17D948DE"/>
    <w:rsid w:val="184F172C"/>
    <w:rsid w:val="18647AF0"/>
    <w:rsid w:val="18803AD2"/>
    <w:rsid w:val="189C236C"/>
    <w:rsid w:val="18AA50A0"/>
    <w:rsid w:val="18AF21C3"/>
    <w:rsid w:val="18BA54C6"/>
    <w:rsid w:val="18FE6E96"/>
    <w:rsid w:val="1945655A"/>
    <w:rsid w:val="19545E5D"/>
    <w:rsid w:val="196A3C9B"/>
    <w:rsid w:val="197E039F"/>
    <w:rsid w:val="19A82C33"/>
    <w:rsid w:val="19B952C5"/>
    <w:rsid w:val="19D353D0"/>
    <w:rsid w:val="19D454BD"/>
    <w:rsid w:val="19D54A25"/>
    <w:rsid w:val="19DC7D1E"/>
    <w:rsid w:val="1A0208CD"/>
    <w:rsid w:val="1A1F27D9"/>
    <w:rsid w:val="1A634BC5"/>
    <w:rsid w:val="1A6472C5"/>
    <w:rsid w:val="1A75058D"/>
    <w:rsid w:val="1A973A6B"/>
    <w:rsid w:val="1AA143BB"/>
    <w:rsid w:val="1AD10057"/>
    <w:rsid w:val="1AED689D"/>
    <w:rsid w:val="1AF51AA2"/>
    <w:rsid w:val="1B1E0B5A"/>
    <w:rsid w:val="1B47215E"/>
    <w:rsid w:val="1B5A3404"/>
    <w:rsid w:val="1B79377D"/>
    <w:rsid w:val="1B824479"/>
    <w:rsid w:val="1B8B019F"/>
    <w:rsid w:val="1B903AFD"/>
    <w:rsid w:val="1B951CAA"/>
    <w:rsid w:val="1B993E04"/>
    <w:rsid w:val="1BAA30D7"/>
    <w:rsid w:val="1BAD77FC"/>
    <w:rsid w:val="1BB07834"/>
    <w:rsid w:val="1BE2529C"/>
    <w:rsid w:val="1C1F427D"/>
    <w:rsid w:val="1C2E68B8"/>
    <w:rsid w:val="1C3D1157"/>
    <w:rsid w:val="1C3F6E01"/>
    <w:rsid w:val="1C636D99"/>
    <w:rsid w:val="1C6B7336"/>
    <w:rsid w:val="1C845143"/>
    <w:rsid w:val="1C853957"/>
    <w:rsid w:val="1C9378E0"/>
    <w:rsid w:val="1C970F79"/>
    <w:rsid w:val="1C9E75A1"/>
    <w:rsid w:val="1CB51B34"/>
    <w:rsid w:val="1CC50B01"/>
    <w:rsid w:val="1CC77553"/>
    <w:rsid w:val="1D0A4B07"/>
    <w:rsid w:val="1D3B1E98"/>
    <w:rsid w:val="1D3E495F"/>
    <w:rsid w:val="1D5C0FFD"/>
    <w:rsid w:val="1D7504A6"/>
    <w:rsid w:val="1DAA6131"/>
    <w:rsid w:val="1DB31012"/>
    <w:rsid w:val="1DB95C9A"/>
    <w:rsid w:val="1DD70F81"/>
    <w:rsid w:val="1DD81EAF"/>
    <w:rsid w:val="1DF049BF"/>
    <w:rsid w:val="1DF2673A"/>
    <w:rsid w:val="1DF82F12"/>
    <w:rsid w:val="1E06268D"/>
    <w:rsid w:val="1E0A6F35"/>
    <w:rsid w:val="1E1C7453"/>
    <w:rsid w:val="1E2B4F94"/>
    <w:rsid w:val="1E356BF8"/>
    <w:rsid w:val="1E7038FE"/>
    <w:rsid w:val="1E790195"/>
    <w:rsid w:val="1E8465C8"/>
    <w:rsid w:val="1EB82E56"/>
    <w:rsid w:val="1F13403A"/>
    <w:rsid w:val="1F38253D"/>
    <w:rsid w:val="1F3B1DB3"/>
    <w:rsid w:val="1F5A4024"/>
    <w:rsid w:val="1F5F4281"/>
    <w:rsid w:val="1F7C75A2"/>
    <w:rsid w:val="1F7E77EB"/>
    <w:rsid w:val="1F947F7A"/>
    <w:rsid w:val="1FA974BC"/>
    <w:rsid w:val="1FB115CE"/>
    <w:rsid w:val="1FBC6908"/>
    <w:rsid w:val="1FBD2B48"/>
    <w:rsid w:val="1FBD2E75"/>
    <w:rsid w:val="1FBE1451"/>
    <w:rsid w:val="1FCA26D0"/>
    <w:rsid w:val="1FD17B17"/>
    <w:rsid w:val="20284115"/>
    <w:rsid w:val="20307015"/>
    <w:rsid w:val="20346056"/>
    <w:rsid w:val="20404B1B"/>
    <w:rsid w:val="204C358B"/>
    <w:rsid w:val="20771C94"/>
    <w:rsid w:val="209A0C30"/>
    <w:rsid w:val="209F068D"/>
    <w:rsid w:val="20B436D2"/>
    <w:rsid w:val="20BE61AA"/>
    <w:rsid w:val="20C57FF1"/>
    <w:rsid w:val="20C60443"/>
    <w:rsid w:val="21014D40"/>
    <w:rsid w:val="210769C0"/>
    <w:rsid w:val="21146EEC"/>
    <w:rsid w:val="211D3C50"/>
    <w:rsid w:val="212E5130"/>
    <w:rsid w:val="213B186E"/>
    <w:rsid w:val="214119E7"/>
    <w:rsid w:val="216511E5"/>
    <w:rsid w:val="219A70A0"/>
    <w:rsid w:val="21A839A3"/>
    <w:rsid w:val="21BB4F16"/>
    <w:rsid w:val="21DC4B51"/>
    <w:rsid w:val="21E1592D"/>
    <w:rsid w:val="2208666C"/>
    <w:rsid w:val="224A22E4"/>
    <w:rsid w:val="2291617F"/>
    <w:rsid w:val="229E020B"/>
    <w:rsid w:val="22BA4455"/>
    <w:rsid w:val="22BF659F"/>
    <w:rsid w:val="22CB1E51"/>
    <w:rsid w:val="23390630"/>
    <w:rsid w:val="238639E1"/>
    <w:rsid w:val="23927B2B"/>
    <w:rsid w:val="23B11C68"/>
    <w:rsid w:val="23C20A93"/>
    <w:rsid w:val="23C56FDF"/>
    <w:rsid w:val="23C74487"/>
    <w:rsid w:val="23D17538"/>
    <w:rsid w:val="23D87D79"/>
    <w:rsid w:val="23F73FD2"/>
    <w:rsid w:val="23F95193"/>
    <w:rsid w:val="242A1670"/>
    <w:rsid w:val="246B4565"/>
    <w:rsid w:val="246E0209"/>
    <w:rsid w:val="24743F84"/>
    <w:rsid w:val="248F7E11"/>
    <w:rsid w:val="24963E3B"/>
    <w:rsid w:val="24A92EF1"/>
    <w:rsid w:val="24C303BA"/>
    <w:rsid w:val="24D82F32"/>
    <w:rsid w:val="251C0EC1"/>
    <w:rsid w:val="252612CF"/>
    <w:rsid w:val="257B7371"/>
    <w:rsid w:val="25867D4E"/>
    <w:rsid w:val="25A64CBA"/>
    <w:rsid w:val="25BA43EB"/>
    <w:rsid w:val="25C527FD"/>
    <w:rsid w:val="25C853D5"/>
    <w:rsid w:val="25CB598F"/>
    <w:rsid w:val="25D86856"/>
    <w:rsid w:val="25E863C9"/>
    <w:rsid w:val="261C1A50"/>
    <w:rsid w:val="261D3B8D"/>
    <w:rsid w:val="264A669C"/>
    <w:rsid w:val="26851A95"/>
    <w:rsid w:val="26A52F69"/>
    <w:rsid w:val="26AD3824"/>
    <w:rsid w:val="26D3066B"/>
    <w:rsid w:val="26E14ED3"/>
    <w:rsid w:val="26FF0AAE"/>
    <w:rsid w:val="270861AE"/>
    <w:rsid w:val="272043B3"/>
    <w:rsid w:val="27371E7F"/>
    <w:rsid w:val="273F73A3"/>
    <w:rsid w:val="27642D0B"/>
    <w:rsid w:val="27833102"/>
    <w:rsid w:val="278533BF"/>
    <w:rsid w:val="27964188"/>
    <w:rsid w:val="279C0623"/>
    <w:rsid w:val="279C272C"/>
    <w:rsid w:val="27A070A8"/>
    <w:rsid w:val="27B07EAB"/>
    <w:rsid w:val="27D37E4E"/>
    <w:rsid w:val="27F272EB"/>
    <w:rsid w:val="27F937E1"/>
    <w:rsid w:val="28042A9F"/>
    <w:rsid w:val="283126DA"/>
    <w:rsid w:val="28870591"/>
    <w:rsid w:val="28B67FB3"/>
    <w:rsid w:val="28BF0B2D"/>
    <w:rsid w:val="28F605CC"/>
    <w:rsid w:val="293869C6"/>
    <w:rsid w:val="293D7B5C"/>
    <w:rsid w:val="297356C3"/>
    <w:rsid w:val="29B65BA6"/>
    <w:rsid w:val="29BA1E22"/>
    <w:rsid w:val="29C12291"/>
    <w:rsid w:val="29C47D6C"/>
    <w:rsid w:val="29E570C1"/>
    <w:rsid w:val="29F30369"/>
    <w:rsid w:val="2A292385"/>
    <w:rsid w:val="2A5B2B16"/>
    <w:rsid w:val="2A627461"/>
    <w:rsid w:val="2A6C31FA"/>
    <w:rsid w:val="2A775500"/>
    <w:rsid w:val="2A9322BA"/>
    <w:rsid w:val="2A985BC0"/>
    <w:rsid w:val="2A9945CE"/>
    <w:rsid w:val="2AB919A6"/>
    <w:rsid w:val="2ABD3523"/>
    <w:rsid w:val="2AD01972"/>
    <w:rsid w:val="2AD35DB2"/>
    <w:rsid w:val="2B1675A6"/>
    <w:rsid w:val="2B171011"/>
    <w:rsid w:val="2B190169"/>
    <w:rsid w:val="2B26159B"/>
    <w:rsid w:val="2B284E92"/>
    <w:rsid w:val="2B3E652F"/>
    <w:rsid w:val="2B3F1CA0"/>
    <w:rsid w:val="2B691F09"/>
    <w:rsid w:val="2B876F37"/>
    <w:rsid w:val="2BBA3E8B"/>
    <w:rsid w:val="2BC861B8"/>
    <w:rsid w:val="2BE64E3F"/>
    <w:rsid w:val="2BEA224D"/>
    <w:rsid w:val="2C0D288C"/>
    <w:rsid w:val="2C231DBB"/>
    <w:rsid w:val="2C3245C8"/>
    <w:rsid w:val="2C653347"/>
    <w:rsid w:val="2CA42B59"/>
    <w:rsid w:val="2CA7680C"/>
    <w:rsid w:val="2D072EA4"/>
    <w:rsid w:val="2D610BA0"/>
    <w:rsid w:val="2D614A71"/>
    <w:rsid w:val="2D646D3A"/>
    <w:rsid w:val="2D6C1A3C"/>
    <w:rsid w:val="2D7D019E"/>
    <w:rsid w:val="2D7F2A74"/>
    <w:rsid w:val="2DBC2689"/>
    <w:rsid w:val="2DD627A8"/>
    <w:rsid w:val="2DDF485F"/>
    <w:rsid w:val="2DEA50D9"/>
    <w:rsid w:val="2E047082"/>
    <w:rsid w:val="2E0B6C01"/>
    <w:rsid w:val="2E1B14D5"/>
    <w:rsid w:val="2E490FB9"/>
    <w:rsid w:val="2E4E432C"/>
    <w:rsid w:val="2E572F89"/>
    <w:rsid w:val="2E6C508A"/>
    <w:rsid w:val="2E793B99"/>
    <w:rsid w:val="2E833A74"/>
    <w:rsid w:val="2EB05315"/>
    <w:rsid w:val="2EB74E66"/>
    <w:rsid w:val="2EE46614"/>
    <w:rsid w:val="2F071B96"/>
    <w:rsid w:val="2F1E4A62"/>
    <w:rsid w:val="2F28336B"/>
    <w:rsid w:val="2F366889"/>
    <w:rsid w:val="2F887359"/>
    <w:rsid w:val="2F934F47"/>
    <w:rsid w:val="2F95412A"/>
    <w:rsid w:val="2FA47205"/>
    <w:rsid w:val="2FCC09AD"/>
    <w:rsid w:val="300678AE"/>
    <w:rsid w:val="301328A2"/>
    <w:rsid w:val="30237B34"/>
    <w:rsid w:val="30422577"/>
    <w:rsid w:val="30770A11"/>
    <w:rsid w:val="307A5795"/>
    <w:rsid w:val="30824E63"/>
    <w:rsid w:val="3084203B"/>
    <w:rsid w:val="30B20462"/>
    <w:rsid w:val="30B62FD4"/>
    <w:rsid w:val="30C31EE3"/>
    <w:rsid w:val="30C956E8"/>
    <w:rsid w:val="30F2476F"/>
    <w:rsid w:val="315A62EB"/>
    <w:rsid w:val="315D1275"/>
    <w:rsid w:val="318936E8"/>
    <w:rsid w:val="31D67A75"/>
    <w:rsid w:val="31EC05F8"/>
    <w:rsid w:val="31F33BB6"/>
    <w:rsid w:val="320A6063"/>
    <w:rsid w:val="32217D9E"/>
    <w:rsid w:val="3222122C"/>
    <w:rsid w:val="3234135F"/>
    <w:rsid w:val="323B44B2"/>
    <w:rsid w:val="323F1CDF"/>
    <w:rsid w:val="325D1114"/>
    <w:rsid w:val="325D203C"/>
    <w:rsid w:val="32604D5C"/>
    <w:rsid w:val="329068D4"/>
    <w:rsid w:val="32965162"/>
    <w:rsid w:val="32E40533"/>
    <w:rsid w:val="32EA227F"/>
    <w:rsid w:val="32F6616D"/>
    <w:rsid w:val="33495BED"/>
    <w:rsid w:val="33515262"/>
    <w:rsid w:val="33552B75"/>
    <w:rsid w:val="33964BE0"/>
    <w:rsid w:val="339B071B"/>
    <w:rsid w:val="33A85F2C"/>
    <w:rsid w:val="33DE7B80"/>
    <w:rsid w:val="345319DB"/>
    <w:rsid w:val="346854EF"/>
    <w:rsid w:val="348B0441"/>
    <w:rsid w:val="34905F2A"/>
    <w:rsid w:val="34BF2369"/>
    <w:rsid w:val="34C04EE5"/>
    <w:rsid w:val="34C133BB"/>
    <w:rsid w:val="34DD4A11"/>
    <w:rsid w:val="351367A1"/>
    <w:rsid w:val="351B0B66"/>
    <w:rsid w:val="355E062A"/>
    <w:rsid w:val="356F3922"/>
    <w:rsid w:val="359262E7"/>
    <w:rsid w:val="35AF730C"/>
    <w:rsid w:val="35C04517"/>
    <w:rsid w:val="361E08B4"/>
    <w:rsid w:val="361E31C5"/>
    <w:rsid w:val="367376E9"/>
    <w:rsid w:val="36B21A09"/>
    <w:rsid w:val="36B26DFE"/>
    <w:rsid w:val="36C2434B"/>
    <w:rsid w:val="36C86758"/>
    <w:rsid w:val="36CE09F3"/>
    <w:rsid w:val="36D16581"/>
    <w:rsid w:val="36F33B3D"/>
    <w:rsid w:val="370C21CB"/>
    <w:rsid w:val="3719313B"/>
    <w:rsid w:val="372A409E"/>
    <w:rsid w:val="37377E9B"/>
    <w:rsid w:val="37526A8E"/>
    <w:rsid w:val="376013D7"/>
    <w:rsid w:val="37723847"/>
    <w:rsid w:val="377411B7"/>
    <w:rsid w:val="37774E85"/>
    <w:rsid w:val="37C81673"/>
    <w:rsid w:val="38053188"/>
    <w:rsid w:val="380735CE"/>
    <w:rsid w:val="380A615D"/>
    <w:rsid w:val="381536F8"/>
    <w:rsid w:val="38660E38"/>
    <w:rsid w:val="38B65B5B"/>
    <w:rsid w:val="38DF49FC"/>
    <w:rsid w:val="38DF4FAB"/>
    <w:rsid w:val="38FA1A23"/>
    <w:rsid w:val="38FC297E"/>
    <w:rsid w:val="39024E10"/>
    <w:rsid w:val="3905700A"/>
    <w:rsid w:val="393365D8"/>
    <w:rsid w:val="39654384"/>
    <w:rsid w:val="39843ADE"/>
    <w:rsid w:val="39A447FC"/>
    <w:rsid w:val="39F4615C"/>
    <w:rsid w:val="3A0A4880"/>
    <w:rsid w:val="3A113D01"/>
    <w:rsid w:val="3A626CD1"/>
    <w:rsid w:val="3A745340"/>
    <w:rsid w:val="3A894029"/>
    <w:rsid w:val="3A8E05E0"/>
    <w:rsid w:val="3ABA47CA"/>
    <w:rsid w:val="3AD27596"/>
    <w:rsid w:val="3B0C7656"/>
    <w:rsid w:val="3B132042"/>
    <w:rsid w:val="3B1C0889"/>
    <w:rsid w:val="3B3E63D1"/>
    <w:rsid w:val="3B9D1B59"/>
    <w:rsid w:val="3BAA4770"/>
    <w:rsid w:val="3BC84443"/>
    <w:rsid w:val="3BD51A27"/>
    <w:rsid w:val="3BD73E16"/>
    <w:rsid w:val="3BEE0BE3"/>
    <w:rsid w:val="3C096279"/>
    <w:rsid w:val="3C24514C"/>
    <w:rsid w:val="3C38515D"/>
    <w:rsid w:val="3C3C2D43"/>
    <w:rsid w:val="3C61305C"/>
    <w:rsid w:val="3C9F6A7F"/>
    <w:rsid w:val="3CCF6C70"/>
    <w:rsid w:val="3CE603F6"/>
    <w:rsid w:val="3D006E35"/>
    <w:rsid w:val="3D1C4A56"/>
    <w:rsid w:val="3D2D5626"/>
    <w:rsid w:val="3D376D0B"/>
    <w:rsid w:val="3D3A5C00"/>
    <w:rsid w:val="3D4C60E0"/>
    <w:rsid w:val="3D5913FB"/>
    <w:rsid w:val="3D5B1735"/>
    <w:rsid w:val="3D654488"/>
    <w:rsid w:val="3D927991"/>
    <w:rsid w:val="3D936F9C"/>
    <w:rsid w:val="3D9734E7"/>
    <w:rsid w:val="3DA4005D"/>
    <w:rsid w:val="3DA628EB"/>
    <w:rsid w:val="3DD23842"/>
    <w:rsid w:val="3DEB7402"/>
    <w:rsid w:val="3DEC6B58"/>
    <w:rsid w:val="3DED2C50"/>
    <w:rsid w:val="3DF83965"/>
    <w:rsid w:val="3E0911BD"/>
    <w:rsid w:val="3E205745"/>
    <w:rsid w:val="3E221A7D"/>
    <w:rsid w:val="3E517DA1"/>
    <w:rsid w:val="3E8266FA"/>
    <w:rsid w:val="3E866110"/>
    <w:rsid w:val="3E9B7B7E"/>
    <w:rsid w:val="3EA009E7"/>
    <w:rsid w:val="3EAD0F0D"/>
    <w:rsid w:val="3EC01BF9"/>
    <w:rsid w:val="3EC74235"/>
    <w:rsid w:val="3EDA7337"/>
    <w:rsid w:val="3EDE1D82"/>
    <w:rsid w:val="3EFA5023"/>
    <w:rsid w:val="3F4B67C4"/>
    <w:rsid w:val="3F5D4DE0"/>
    <w:rsid w:val="3F8631E9"/>
    <w:rsid w:val="3F893903"/>
    <w:rsid w:val="3FFB1700"/>
    <w:rsid w:val="40101379"/>
    <w:rsid w:val="401C0AC7"/>
    <w:rsid w:val="40551119"/>
    <w:rsid w:val="4070163A"/>
    <w:rsid w:val="40797214"/>
    <w:rsid w:val="407B5564"/>
    <w:rsid w:val="40954D93"/>
    <w:rsid w:val="40B338AB"/>
    <w:rsid w:val="40B82081"/>
    <w:rsid w:val="40D40CD2"/>
    <w:rsid w:val="40D72C24"/>
    <w:rsid w:val="41114328"/>
    <w:rsid w:val="411E31A8"/>
    <w:rsid w:val="41223F31"/>
    <w:rsid w:val="412B0E68"/>
    <w:rsid w:val="41557C52"/>
    <w:rsid w:val="416C1B47"/>
    <w:rsid w:val="41A021EB"/>
    <w:rsid w:val="41AB2BF1"/>
    <w:rsid w:val="41DA2519"/>
    <w:rsid w:val="428C1F98"/>
    <w:rsid w:val="42A203FC"/>
    <w:rsid w:val="42D214D8"/>
    <w:rsid w:val="42E41AD6"/>
    <w:rsid w:val="42FA793A"/>
    <w:rsid w:val="42FD7B40"/>
    <w:rsid w:val="430820DA"/>
    <w:rsid w:val="430C76E3"/>
    <w:rsid w:val="431732AC"/>
    <w:rsid w:val="43282206"/>
    <w:rsid w:val="433424F8"/>
    <w:rsid w:val="433A40F9"/>
    <w:rsid w:val="434645A2"/>
    <w:rsid w:val="4366094B"/>
    <w:rsid w:val="43662279"/>
    <w:rsid w:val="43767B2B"/>
    <w:rsid w:val="437D781A"/>
    <w:rsid w:val="439D0CD4"/>
    <w:rsid w:val="43D910A5"/>
    <w:rsid w:val="43E066C1"/>
    <w:rsid w:val="43F21EBC"/>
    <w:rsid w:val="4431604E"/>
    <w:rsid w:val="44633BAD"/>
    <w:rsid w:val="449303A7"/>
    <w:rsid w:val="449E1B43"/>
    <w:rsid w:val="44D3361C"/>
    <w:rsid w:val="44F43AC0"/>
    <w:rsid w:val="451135FB"/>
    <w:rsid w:val="45457E53"/>
    <w:rsid w:val="454E4ED7"/>
    <w:rsid w:val="45565236"/>
    <w:rsid w:val="455C65DF"/>
    <w:rsid w:val="455F264A"/>
    <w:rsid w:val="45CD17D7"/>
    <w:rsid w:val="45F12DF0"/>
    <w:rsid w:val="461547A7"/>
    <w:rsid w:val="462213AA"/>
    <w:rsid w:val="463B4A36"/>
    <w:rsid w:val="46792653"/>
    <w:rsid w:val="46D67EF3"/>
    <w:rsid w:val="46FE668E"/>
    <w:rsid w:val="470D0812"/>
    <w:rsid w:val="47225691"/>
    <w:rsid w:val="47234B26"/>
    <w:rsid w:val="47467F33"/>
    <w:rsid w:val="477F4128"/>
    <w:rsid w:val="47A12C27"/>
    <w:rsid w:val="47B201BC"/>
    <w:rsid w:val="47DB080D"/>
    <w:rsid w:val="48762C7A"/>
    <w:rsid w:val="488461FA"/>
    <w:rsid w:val="48A40CFB"/>
    <w:rsid w:val="48B12D81"/>
    <w:rsid w:val="48F158AA"/>
    <w:rsid w:val="492923C8"/>
    <w:rsid w:val="49685559"/>
    <w:rsid w:val="497E555F"/>
    <w:rsid w:val="49A56731"/>
    <w:rsid w:val="49BB3712"/>
    <w:rsid w:val="49C91DB3"/>
    <w:rsid w:val="49CB6EA9"/>
    <w:rsid w:val="49E068DC"/>
    <w:rsid w:val="49E17134"/>
    <w:rsid w:val="4A1F76FB"/>
    <w:rsid w:val="4A725C95"/>
    <w:rsid w:val="4A7D06A4"/>
    <w:rsid w:val="4A9D28E8"/>
    <w:rsid w:val="4AAB64A7"/>
    <w:rsid w:val="4AB024C8"/>
    <w:rsid w:val="4AB612F5"/>
    <w:rsid w:val="4ABA3513"/>
    <w:rsid w:val="4AC533BD"/>
    <w:rsid w:val="4AE44D4E"/>
    <w:rsid w:val="4B2B4089"/>
    <w:rsid w:val="4B3C418F"/>
    <w:rsid w:val="4B3C6A24"/>
    <w:rsid w:val="4B504E8F"/>
    <w:rsid w:val="4B6117E6"/>
    <w:rsid w:val="4B6B1D39"/>
    <w:rsid w:val="4B86222C"/>
    <w:rsid w:val="4B8B1BA2"/>
    <w:rsid w:val="4BB428E4"/>
    <w:rsid w:val="4BD00466"/>
    <w:rsid w:val="4BD25D4A"/>
    <w:rsid w:val="4BF625FE"/>
    <w:rsid w:val="4C1E78E5"/>
    <w:rsid w:val="4C3C6230"/>
    <w:rsid w:val="4C495C45"/>
    <w:rsid w:val="4C4A725E"/>
    <w:rsid w:val="4C4C3C6C"/>
    <w:rsid w:val="4C5E325B"/>
    <w:rsid w:val="4C741D50"/>
    <w:rsid w:val="4CB64D07"/>
    <w:rsid w:val="4CCB3CA6"/>
    <w:rsid w:val="4CE86206"/>
    <w:rsid w:val="4CE93A16"/>
    <w:rsid w:val="4CEF16CD"/>
    <w:rsid w:val="4CFF793A"/>
    <w:rsid w:val="4D211378"/>
    <w:rsid w:val="4D2407F2"/>
    <w:rsid w:val="4D263EEA"/>
    <w:rsid w:val="4D561A7C"/>
    <w:rsid w:val="4D60267B"/>
    <w:rsid w:val="4D8E35FB"/>
    <w:rsid w:val="4D9A5B1B"/>
    <w:rsid w:val="4DC9408B"/>
    <w:rsid w:val="4DD92D1A"/>
    <w:rsid w:val="4DDC5D17"/>
    <w:rsid w:val="4DEC14FB"/>
    <w:rsid w:val="4DFC5112"/>
    <w:rsid w:val="4E144F6C"/>
    <w:rsid w:val="4E3976C8"/>
    <w:rsid w:val="4E4F2ACE"/>
    <w:rsid w:val="4E507E59"/>
    <w:rsid w:val="4E592B02"/>
    <w:rsid w:val="4E677B71"/>
    <w:rsid w:val="4E9402D5"/>
    <w:rsid w:val="4EC2654A"/>
    <w:rsid w:val="4ECD114A"/>
    <w:rsid w:val="4EEF64AE"/>
    <w:rsid w:val="4F500A60"/>
    <w:rsid w:val="4F797409"/>
    <w:rsid w:val="4FAE7DB3"/>
    <w:rsid w:val="4FC42ECC"/>
    <w:rsid w:val="4FE9098F"/>
    <w:rsid w:val="502B2F5F"/>
    <w:rsid w:val="502C44C3"/>
    <w:rsid w:val="50555CF6"/>
    <w:rsid w:val="50687B9D"/>
    <w:rsid w:val="506948D3"/>
    <w:rsid w:val="506B5378"/>
    <w:rsid w:val="50AE5D7E"/>
    <w:rsid w:val="50D33826"/>
    <w:rsid w:val="510F3BE5"/>
    <w:rsid w:val="51282F3E"/>
    <w:rsid w:val="514619EF"/>
    <w:rsid w:val="51492FEF"/>
    <w:rsid w:val="515B1DC8"/>
    <w:rsid w:val="51625524"/>
    <w:rsid w:val="5186288D"/>
    <w:rsid w:val="519A67A1"/>
    <w:rsid w:val="51B54220"/>
    <w:rsid w:val="51C00648"/>
    <w:rsid w:val="51D448D0"/>
    <w:rsid w:val="525233C2"/>
    <w:rsid w:val="527B639F"/>
    <w:rsid w:val="52D24A17"/>
    <w:rsid w:val="52DC71FF"/>
    <w:rsid w:val="5303124D"/>
    <w:rsid w:val="53A72424"/>
    <w:rsid w:val="53AA112F"/>
    <w:rsid w:val="53D00465"/>
    <w:rsid w:val="53D16184"/>
    <w:rsid w:val="53D37BDD"/>
    <w:rsid w:val="53FD193C"/>
    <w:rsid w:val="54197164"/>
    <w:rsid w:val="5433033A"/>
    <w:rsid w:val="543446B6"/>
    <w:rsid w:val="546102D3"/>
    <w:rsid w:val="54986235"/>
    <w:rsid w:val="54C95FB5"/>
    <w:rsid w:val="54D2037E"/>
    <w:rsid w:val="54EC74CA"/>
    <w:rsid w:val="54EF34A9"/>
    <w:rsid w:val="54FA740C"/>
    <w:rsid w:val="554A58E2"/>
    <w:rsid w:val="558267E0"/>
    <w:rsid w:val="5596263B"/>
    <w:rsid w:val="55A50520"/>
    <w:rsid w:val="55AB4C75"/>
    <w:rsid w:val="55B636E2"/>
    <w:rsid w:val="55B6646F"/>
    <w:rsid w:val="55C640BB"/>
    <w:rsid w:val="55D04519"/>
    <w:rsid w:val="55D51DEC"/>
    <w:rsid w:val="56137024"/>
    <w:rsid w:val="564E5420"/>
    <w:rsid w:val="565F0A9F"/>
    <w:rsid w:val="567A248A"/>
    <w:rsid w:val="56993FF2"/>
    <w:rsid w:val="56BF61AF"/>
    <w:rsid w:val="56C675AA"/>
    <w:rsid w:val="56E9562A"/>
    <w:rsid w:val="56F35047"/>
    <w:rsid w:val="56F86D5F"/>
    <w:rsid w:val="571D5F1D"/>
    <w:rsid w:val="571F7B60"/>
    <w:rsid w:val="57324B4D"/>
    <w:rsid w:val="57507FEB"/>
    <w:rsid w:val="575A2B81"/>
    <w:rsid w:val="576143B3"/>
    <w:rsid w:val="576E0B6D"/>
    <w:rsid w:val="577766B4"/>
    <w:rsid w:val="57AA136D"/>
    <w:rsid w:val="57AB4497"/>
    <w:rsid w:val="57B25D01"/>
    <w:rsid w:val="57C74C68"/>
    <w:rsid w:val="57CF6EEA"/>
    <w:rsid w:val="58030768"/>
    <w:rsid w:val="58055808"/>
    <w:rsid w:val="580C3AD9"/>
    <w:rsid w:val="58616B5F"/>
    <w:rsid w:val="58704048"/>
    <w:rsid w:val="58A742FD"/>
    <w:rsid w:val="58C143BC"/>
    <w:rsid w:val="58C54F5D"/>
    <w:rsid w:val="58D740C7"/>
    <w:rsid w:val="58F15301"/>
    <w:rsid w:val="590D1082"/>
    <w:rsid w:val="590F5FA0"/>
    <w:rsid w:val="59132BE2"/>
    <w:rsid w:val="593C639D"/>
    <w:rsid w:val="59482406"/>
    <w:rsid w:val="597C63EE"/>
    <w:rsid w:val="597F421D"/>
    <w:rsid w:val="598D7814"/>
    <w:rsid w:val="59D32FDD"/>
    <w:rsid w:val="59DE4B4A"/>
    <w:rsid w:val="5A230F12"/>
    <w:rsid w:val="5A431C9D"/>
    <w:rsid w:val="5A46000A"/>
    <w:rsid w:val="5A460745"/>
    <w:rsid w:val="5A7E17C2"/>
    <w:rsid w:val="5A906710"/>
    <w:rsid w:val="5AAD50EA"/>
    <w:rsid w:val="5ABD72ED"/>
    <w:rsid w:val="5AD87E74"/>
    <w:rsid w:val="5B097B71"/>
    <w:rsid w:val="5B265FED"/>
    <w:rsid w:val="5B2F4B80"/>
    <w:rsid w:val="5B313427"/>
    <w:rsid w:val="5B3A02C9"/>
    <w:rsid w:val="5B541EBD"/>
    <w:rsid w:val="5B921A90"/>
    <w:rsid w:val="5B9938B6"/>
    <w:rsid w:val="5BC87CF7"/>
    <w:rsid w:val="5BE92F0D"/>
    <w:rsid w:val="5BE96E9F"/>
    <w:rsid w:val="5BF02149"/>
    <w:rsid w:val="5BF20E3A"/>
    <w:rsid w:val="5C1B2BF7"/>
    <w:rsid w:val="5C703E7C"/>
    <w:rsid w:val="5C720D29"/>
    <w:rsid w:val="5C732C79"/>
    <w:rsid w:val="5C766531"/>
    <w:rsid w:val="5C924288"/>
    <w:rsid w:val="5CC326B7"/>
    <w:rsid w:val="5D0A461A"/>
    <w:rsid w:val="5D2F412C"/>
    <w:rsid w:val="5D397EEA"/>
    <w:rsid w:val="5D3E2D99"/>
    <w:rsid w:val="5D6264B8"/>
    <w:rsid w:val="5D6602FB"/>
    <w:rsid w:val="5D7D083E"/>
    <w:rsid w:val="5DA41C0F"/>
    <w:rsid w:val="5DBD5224"/>
    <w:rsid w:val="5DDA2835"/>
    <w:rsid w:val="5DE57EA3"/>
    <w:rsid w:val="5DFC385E"/>
    <w:rsid w:val="5DFD2F96"/>
    <w:rsid w:val="5E0371DB"/>
    <w:rsid w:val="5E1206ED"/>
    <w:rsid w:val="5E565FD8"/>
    <w:rsid w:val="5E605D60"/>
    <w:rsid w:val="5E85195C"/>
    <w:rsid w:val="5E963108"/>
    <w:rsid w:val="5E9E634B"/>
    <w:rsid w:val="5ECB0906"/>
    <w:rsid w:val="5EDE2C32"/>
    <w:rsid w:val="5EEB2E30"/>
    <w:rsid w:val="5EEF67E1"/>
    <w:rsid w:val="5F01497B"/>
    <w:rsid w:val="5F1F2DBA"/>
    <w:rsid w:val="5F3175C1"/>
    <w:rsid w:val="5F345925"/>
    <w:rsid w:val="5F45704B"/>
    <w:rsid w:val="5F4D209C"/>
    <w:rsid w:val="5F5528EC"/>
    <w:rsid w:val="5F552C5A"/>
    <w:rsid w:val="5F7371B1"/>
    <w:rsid w:val="5F7F2D36"/>
    <w:rsid w:val="5F815262"/>
    <w:rsid w:val="5FAF31E0"/>
    <w:rsid w:val="5FC54D56"/>
    <w:rsid w:val="5FCA2F03"/>
    <w:rsid w:val="5FE02F5A"/>
    <w:rsid w:val="60050F94"/>
    <w:rsid w:val="600A566B"/>
    <w:rsid w:val="600B21B7"/>
    <w:rsid w:val="60136DBF"/>
    <w:rsid w:val="601B4A59"/>
    <w:rsid w:val="60231A17"/>
    <w:rsid w:val="605C0291"/>
    <w:rsid w:val="6085149A"/>
    <w:rsid w:val="60854870"/>
    <w:rsid w:val="608E0196"/>
    <w:rsid w:val="60EC5EA2"/>
    <w:rsid w:val="61534E9F"/>
    <w:rsid w:val="6158423E"/>
    <w:rsid w:val="615C74EF"/>
    <w:rsid w:val="616C5F65"/>
    <w:rsid w:val="61843116"/>
    <w:rsid w:val="61AD3134"/>
    <w:rsid w:val="61BC37E3"/>
    <w:rsid w:val="61C8786C"/>
    <w:rsid w:val="61E16DD9"/>
    <w:rsid w:val="621D7252"/>
    <w:rsid w:val="621E5B19"/>
    <w:rsid w:val="62225689"/>
    <w:rsid w:val="623545F7"/>
    <w:rsid w:val="62415160"/>
    <w:rsid w:val="624C45B1"/>
    <w:rsid w:val="624D5FF6"/>
    <w:rsid w:val="625245D2"/>
    <w:rsid w:val="625A2A3D"/>
    <w:rsid w:val="625E7D0F"/>
    <w:rsid w:val="62932922"/>
    <w:rsid w:val="62A32DBD"/>
    <w:rsid w:val="62AF2CE7"/>
    <w:rsid w:val="62B41F8D"/>
    <w:rsid w:val="630634B9"/>
    <w:rsid w:val="6307463E"/>
    <w:rsid w:val="63193EF0"/>
    <w:rsid w:val="631B1CBC"/>
    <w:rsid w:val="637F0A3F"/>
    <w:rsid w:val="63BF5E76"/>
    <w:rsid w:val="64144421"/>
    <w:rsid w:val="64171C4B"/>
    <w:rsid w:val="642814F0"/>
    <w:rsid w:val="6433298F"/>
    <w:rsid w:val="643E0025"/>
    <w:rsid w:val="646A225E"/>
    <w:rsid w:val="6471319B"/>
    <w:rsid w:val="648836E1"/>
    <w:rsid w:val="6498110B"/>
    <w:rsid w:val="6498281A"/>
    <w:rsid w:val="64CF30B9"/>
    <w:rsid w:val="651A67AE"/>
    <w:rsid w:val="65297AE3"/>
    <w:rsid w:val="652D4BC5"/>
    <w:rsid w:val="652E2DF5"/>
    <w:rsid w:val="65514821"/>
    <w:rsid w:val="6557166E"/>
    <w:rsid w:val="656A3F55"/>
    <w:rsid w:val="65856CAF"/>
    <w:rsid w:val="659455D1"/>
    <w:rsid w:val="659E78EE"/>
    <w:rsid w:val="65C823EE"/>
    <w:rsid w:val="65CB34C7"/>
    <w:rsid w:val="65DD1EA0"/>
    <w:rsid w:val="65E16BA2"/>
    <w:rsid w:val="65E25326"/>
    <w:rsid w:val="65E80D5A"/>
    <w:rsid w:val="65FE000A"/>
    <w:rsid w:val="66187D1B"/>
    <w:rsid w:val="661B6747"/>
    <w:rsid w:val="66243E64"/>
    <w:rsid w:val="664A7F93"/>
    <w:rsid w:val="66560330"/>
    <w:rsid w:val="66AC4B99"/>
    <w:rsid w:val="66E133EC"/>
    <w:rsid w:val="66E34D94"/>
    <w:rsid w:val="66E8390B"/>
    <w:rsid w:val="672C2A72"/>
    <w:rsid w:val="678938FA"/>
    <w:rsid w:val="678D30CF"/>
    <w:rsid w:val="678E3465"/>
    <w:rsid w:val="67AC5282"/>
    <w:rsid w:val="67BC5526"/>
    <w:rsid w:val="67D017AE"/>
    <w:rsid w:val="67D24C0A"/>
    <w:rsid w:val="67FB6659"/>
    <w:rsid w:val="68125FA1"/>
    <w:rsid w:val="68135A1B"/>
    <w:rsid w:val="68136471"/>
    <w:rsid w:val="682B48C0"/>
    <w:rsid w:val="68301D73"/>
    <w:rsid w:val="68414080"/>
    <w:rsid w:val="684629DB"/>
    <w:rsid w:val="685E063B"/>
    <w:rsid w:val="687224DD"/>
    <w:rsid w:val="687F0BA0"/>
    <w:rsid w:val="688F6B1A"/>
    <w:rsid w:val="689E02CD"/>
    <w:rsid w:val="68A45DFB"/>
    <w:rsid w:val="68AA17E8"/>
    <w:rsid w:val="69034E84"/>
    <w:rsid w:val="691331B2"/>
    <w:rsid w:val="69742C79"/>
    <w:rsid w:val="69843BF8"/>
    <w:rsid w:val="69866CD9"/>
    <w:rsid w:val="699D74DA"/>
    <w:rsid w:val="69A826AD"/>
    <w:rsid w:val="69AA1CF9"/>
    <w:rsid w:val="69C32732"/>
    <w:rsid w:val="69C55EB1"/>
    <w:rsid w:val="69DA19FF"/>
    <w:rsid w:val="69EB3A36"/>
    <w:rsid w:val="69F8615D"/>
    <w:rsid w:val="6A495F96"/>
    <w:rsid w:val="6A9F256B"/>
    <w:rsid w:val="6AA551ED"/>
    <w:rsid w:val="6AC11D31"/>
    <w:rsid w:val="6AED52DC"/>
    <w:rsid w:val="6AFA2CE8"/>
    <w:rsid w:val="6B24267B"/>
    <w:rsid w:val="6B2D7669"/>
    <w:rsid w:val="6B2D79D0"/>
    <w:rsid w:val="6B455CB9"/>
    <w:rsid w:val="6B74304E"/>
    <w:rsid w:val="6B767770"/>
    <w:rsid w:val="6B8C089C"/>
    <w:rsid w:val="6B986FA6"/>
    <w:rsid w:val="6B9A3F3A"/>
    <w:rsid w:val="6BAF3CCF"/>
    <w:rsid w:val="6BC14CBD"/>
    <w:rsid w:val="6BCC5268"/>
    <w:rsid w:val="6BD32C93"/>
    <w:rsid w:val="6BE71311"/>
    <w:rsid w:val="6C073F7A"/>
    <w:rsid w:val="6C724222"/>
    <w:rsid w:val="6C824AD5"/>
    <w:rsid w:val="6C8A309A"/>
    <w:rsid w:val="6CA21BCF"/>
    <w:rsid w:val="6CB83AF0"/>
    <w:rsid w:val="6CBE549D"/>
    <w:rsid w:val="6CD32F55"/>
    <w:rsid w:val="6CD546E4"/>
    <w:rsid w:val="6CF779FA"/>
    <w:rsid w:val="6D046A5E"/>
    <w:rsid w:val="6D4E2F4B"/>
    <w:rsid w:val="6D535B26"/>
    <w:rsid w:val="6D59085A"/>
    <w:rsid w:val="6DA67B51"/>
    <w:rsid w:val="6DCE0092"/>
    <w:rsid w:val="6DDF23CB"/>
    <w:rsid w:val="6DE4714A"/>
    <w:rsid w:val="6DF568C6"/>
    <w:rsid w:val="6DFE6657"/>
    <w:rsid w:val="6E076C89"/>
    <w:rsid w:val="6E256073"/>
    <w:rsid w:val="6E3443F4"/>
    <w:rsid w:val="6E442FFC"/>
    <w:rsid w:val="6E6168B8"/>
    <w:rsid w:val="6E6C492C"/>
    <w:rsid w:val="6E717912"/>
    <w:rsid w:val="6E80204D"/>
    <w:rsid w:val="6EA56A9F"/>
    <w:rsid w:val="6EAC07D3"/>
    <w:rsid w:val="6ED67D08"/>
    <w:rsid w:val="6EE02A79"/>
    <w:rsid w:val="6F4F01F0"/>
    <w:rsid w:val="6F7F2767"/>
    <w:rsid w:val="6F896BAB"/>
    <w:rsid w:val="6F9C587F"/>
    <w:rsid w:val="6FDA3ED3"/>
    <w:rsid w:val="7047363B"/>
    <w:rsid w:val="7050657A"/>
    <w:rsid w:val="70514652"/>
    <w:rsid w:val="705C1FD1"/>
    <w:rsid w:val="70806C4A"/>
    <w:rsid w:val="70C272E9"/>
    <w:rsid w:val="70C429FB"/>
    <w:rsid w:val="70CE3A8E"/>
    <w:rsid w:val="70F14FAF"/>
    <w:rsid w:val="70FA44C4"/>
    <w:rsid w:val="710170AD"/>
    <w:rsid w:val="713F28EC"/>
    <w:rsid w:val="714A579A"/>
    <w:rsid w:val="71505985"/>
    <w:rsid w:val="716C2239"/>
    <w:rsid w:val="7171478F"/>
    <w:rsid w:val="71B958A3"/>
    <w:rsid w:val="71C54A77"/>
    <w:rsid w:val="71D125A5"/>
    <w:rsid w:val="71D51E27"/>
    <w:rsid w:val="71DF5659"/>
    <w:rsid w:val="71E836A4"/>
    <w:rsid w:val="721F3A52"/>
    <w:rsid w:val="722647FD"/>
    <w:rsid w:val="72417BAE"/>
    <w:rsid w:val="725710F5"/>
    <w:rsid w:val="72586D3A"/>
    <w:rsid w:val="72642CFB"/>
    <w:rsid w:val="727A0CD2"/>
    <w:rsid w:val="72952AE1"/>
    <w:rsid w:val="72A62B29"/>
    <w:rsid w:val="72AD1A99"/>
    <w:rsid w:val="72DB5FE7"/>
    <w:rsid w:val="72EF7F81"/>
    <w:rsid w:val="72F955DC"/>
    <w:rsid w:val="72FE1411"/>
    <w:rsid w:val="73012A3E"/>
    <w:rsid w:val="73112DEE"/>
    <w:rsid w:val="732C01E9"/>
    <w:rsid w:val="7351669F"/>
    <w:rsid w:val="738E1D69"/>
    <w:rsid w:val="73966C5E"/>
    <w:rsid w:val="73B46CD6"/>
    <w:rsid w:val="73DF6D6F"/>
    <w:rsid w:val="73EC7FC2"/>
    <w:rsid w:val="73F61AE2"/>
    <w:rsid w:val="740015C0"/>
    <w:rsid w:val="74005DE6"/>
    <w:rsid w:val="742D694B"/>
    <w:rsid w:val="74897193"/>
    <w:rsid w:val="748B7DA0"/>
    <w:rsid w:val="748E135D"/>
    <w:rsid w:val="749158F6"/>
    <w:rsid w:val="75120CE1"/>
    <w:rsid w:val="751B21FB"/>
    <w:rsid w:val="751C0348"/>
    <w:rsid w:val="75297026"/>
    <w:rsid w:val="7539688D"/>
    <w:rsid w:val="75763EF6"/>
    <w:rsid w:val="757A0326"/>
    <w:rsid w:val="758B4406"/>
    <w:rsid w:val="758D6EDA"/>
    <w:rsid w:val="759223AB"/>
    <w:rsid w:val="75A35781"/>
    <w:rsid w:val="75AA09B4"/>
    <w:rsid w:val="75BD2BF8"/>
    <w:rsid w:val="75D211B8"/>
    <w:rsid w:val="75D63E84"/>
    <w:rsid w:val="760A2F52"/>
    <w:rsid w:val="7618062B"/>
    <w:rsid w:val="763E0E8A"/>
    <w:rsid w:val="765B3F59"/>
    <w:rsid w:val="76672F0C"/>
    <w:rsid w:val="767F2AB1"/>
    <w:rsid w:val="768712F7"/>
    <w:rsid w:val="7688491F"/>
    <w:rsid w:val="76925DEB"/>
    <w:rsid w:val="76A20113"/>
    <w:rsid w:val="76A53A57"/>
    <w:rsid w:val="76BF0CB7"/>
    <w:rsid w:val="76D15B8E"/>
    <w:rsid w:val="76F53000"/>
    <w:rsid w:val="77055A43"/>
    <w:rsid w:val="773C2725"/>
    <w:rsid w:val="774B206B"/>
    <w:rsid w:val="774C1009"/>
    <w:rsid w:val="775E05D3"/>
    <w:rsid w:val="776161FE"/>
    <w:rsid w:val="77631495"/>
    <w:rsid w:val="77635074"/>
    <w:rsid w:val="77702EBF"/>
    <w:rsid w:val="7776434F"/>
    <w:rsid w:val="778231D4"/>
    <w:rsid w:val="77EA0A62"/>
    <w:rsid w:val="7837438D"/>
    <w:rsid w:val="78402DE3"/>
    <w:rsid w:val="78485749"/>
    <w:rsid w:val="78510F18"/>
    <w:rsid w:val="78992474"/>
    <w:rsid w:val="789C12D8"/>
    <w:rsid w:val="78AC257F"/>
    <w:rsid w:val="78AF0FE5"/>
    <w:rsid w:val="78B146E1"/>
    <w:rsid w:val="78CC4F84"/>
    <w:rsid w:val="78D930EC"/>
    <w:rsid w:val="78DA190D"/>
    <w:rsid w:val="78E62E07"/>
    <w:rsid w:val="78EA7D4E"/>
    <w:rsid w:val="78F16688"/>
    <w:rsid w:val="791B6508"/>
    <w:rsid w:val="79216653"/>
    <w:rsid w:val="79462C5B"/>
    <w:rsid w:val="79483813"/>
    <w:rsid w:val="794E5DC3"/>
    <w:rsid w:val="79550344"/>
    <w:rsid w:val="795C14D0"/>
    <w:rsid w:val="79765F99"/>
    <w:rsid w:val="797B2076"/>
    <w:rsid w:val="798527C1"/>
    <w:rsid w:val="79996D64"/>
    <w:rsid w:val="79C0148B"/>
    <w:rsid w:val="79C67F95"/>
    <w:rsid w:val="79CE3098"/>
    <w:rsid w:val="7A267E01"/>
    <w:rsid w:val="7A315D5E"/>
    <w:rsid w:val="7A680B91"/>
    <w:rsid w:val="7A777807"/>
    <w:rsid w:val="7AC13730"/>
    <w:rsid w:val="7AC35E02"/>
    <w:rsid w:val="7ACF57A0"/>
    <w:rsid w:val="7AD83B6A"/>
    <w:rsid w:val="7AE86662"/>
    <w:rsid w:val="7AF44BDC"/>
    <w:rsid w:val="7B030A8F"/>
    <w:rsid w:val="7B0526D3"/>
    <w:rsid w:val="7B061691"/>
    <w:rsid w:val="7B282A69"/>
    <w:rsid w:val="7B2B329B"/>
    <w:rsid w:val="7B7270AD"/>
    <w:rsid w:val="7B7272E1"/>
    <w:rsid w:val="7B9A48AC"/>
    <w:rsid w:val="7BB03436"/>
    <w:rsid w:val="7BBD301A"/>
    <w:rsid w:val="7C0F5C43"/>
    <w:rsid w:val="7C2856F6"/>
    <w:rsid w:val="7C305609"/>
    <w:rsid w:val="7C315B74"/>
    <w:rsid w:val="7C4F6E24"/>
    <w:rsid w:val="7C816E1D"/>
    <w:rsid w:val="7C984479"/>
    <w:rsid w:val="7CBB3A77"/>
    <w:rsid w:val="7CC44520"/>
    <w:rsid w:val="7CCA74D1"/>
    <w:rsid w:val="7CF74195"/>
    <w:rsid w:val="7CF96B80"/>
    <w:rsid w:val="7D294908"/>
    <w:rsid w:val="7D363ACE"/>
    <w:rsid w:val="7D3B1BB8"/>
    <w:rsid w:val="7D4719BA"/>
    <w:rsid w:val="7D5669CD"/>
    <w:rsid w:val="7D585BFB"/>
    <w:rsid w:val="7D6A294E"/>
    <w:rsid w:val="7D7B4132"/>
    <w:rsid w:val="7D9308A7"/>
    <w:rsid w:val="7D932360"/>
    <w:rsid w:val="7DA0506C"/>
    <w:rsid w:val="7DA871D2"/>
    <w:rsid w:val="7DD708D1"/>
    <w:rsid w:val="7DF931A3"/>
    <w:rsid w:val="7E1130F1"/>
    <w:rsid w:val="7E307DA0"/>
    <w:rsid w:val="7E4D342B"/>
    <w:rsid w:val="7E6035E8"/>
    <w:rsid w:val="7E801ABB"/>
    <w:rsid w:val="7E810A95"/>
    <w:rsid w:val="7E827F52"/>
    <w:rsid w:val="7E965BBE"/>
    <w:rsid w:val="7EAD152C"/>
    <w:rsid w:val="7EC2116E"/>
    <w:rsid w:val="7ED6091C"/>
    <w:rsid w:val="7EF77F89"/>
    <w:rsid w:val="7F2A32CC"/>
    <w:rsid w:val="7F6776A3"/>
    <w:rsid w:val="7F7A6FB7"/>
    <w:rsid w:val="7F9A07A6"/>
    <w:rsid w:val="7FAB2610"/>
    <w:rsid w:val="7FB05621"/>
    <w:rsid w:val="7FB420BF"/>
    <w:rsid w:val="7FB92E6C"/>
    <w:rsid w:val="7FBE0039"/>
    <w:rsid w:val="7FD07211"/>
    <w:rsid w:val="7FD92575"/>
    <w:rsid w:val="7FF57791"/>
    <w:rsid w:val="7FFA4A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仿宋" w:asciiTheme="minorHAnsi" w:hAnsiTheme="minorHAnsi" w:cstheme="minorBidi"/>
      <w:kern w:val="2"/>
      <w:sz w:val="28"/>
      <w:szCs w:val="24"/>
      <w:lang w:val="en-US" w:eastAsia="zh-CN" w:bidi="ar-SA"/>
    </w:rPr>
  </w:style>
  <w:style w:type="paragraph" w:styleId="2">
    <w:name w:val="heading 1"/>
    <w:basedOn w:val="1"/>
    <w:next w:val="1"/>
    <w:qFormat/>
    <w:uiPriority w:val="0"/>
    <w:pPr>
      <w:keepNext/>
      <w:keepLines/>
      <w:spacing w:line="610" w:lineRule="exact"/>
      <w:outlineLvl w:val="0"/>
    </w:pPr>
    <w:rPr>
      <w:b/>
      <w:kern w:val="44"/>
      <w:sz w:val="30"/>
    </w:rPr>
  </w:style>
  <w:style w:type="paragraph" w:styleId="3">
    <w:name w:val="heading 2"/>
    <w:basedOn w:val="1"/>
    <w:next w:val="1"/>
    <w:link w:val="35"/>
    <w:unhideWhenUsed/>
    <w:qFormat/>
    <w:uiPriority w:val="0"/>
    <w:pPr>
      <w:keepNext/>
      <w:keepLines/>
      <w:spacing w:line="610" w:lineRule="exact"/>
      <w:outlineLvl w:val="1"/>
    </w:pPr>
    <w:rPr>
      <w:rFonts w:ascii="Arial" w:hAnsi="Arial"/>
      <w:b/>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link w:val="27"/>
    <w:qFormat/>
    <w:uiPriority w:val="0"/>
    <w:rPr>
      <w:rFonts w:ascii="方正仿宋_GB2312" w:eastAsia="方正仿宋_GB2312"/>
      <w:sz w:val="30"/>
    </w:rPr>
  </w:style>
  <w:style w:type="paragraph" w:styleId="7">
    <w:name w:val="Body Text Indent 2"/>
    <w:basedOn w:val="1"/>
    <w:next w:val="8"/>
    <w:qFormat/>
    <w:uiPriority w:val="0"/>
    <w:pPr>
      <w:spacing w:line="580" w:lineRule="exact"/>
      <w:ind w:firstLine="200"/>
    </w:pPr>
    <w:rPr>
      <w:rFonts w:ascii="方正仿宋_GB2312" w:eastAsia="方正仿宋_GB2312" w:cs="宋体"/>
      <w:sz w:val="32"/>
      <w:szCs w:val="32"/>
    </w:rPr>
  </w:style>
  <w:style w:type="paragraph" w:styleId="8">
    <w:name w:val="Normal (Web)"/>
    <w:basedOn w:val="1"/>
    <w:next w:val="1"/>
    <w:link w:val="28"/>
    <w:qFormat/>
    <w:uiPriority w:val="0"/>
    <w:pPr>
      <w:spacing w:beforeAutospacing="1" w:afterAutospacing="1"/>
      <w:jc w:val="left"/>
    </w:pPr>
    <w:rPr>
      <w:rFonts w:cs="Times New Roman"/>
      <w:kern w:val="0"/>
      <w:sz w:val="24"/>
    </w:rPr>
  </w:style>
  <w:style w:type="paragraph" w:styleId="9">
    <w:name w:val="Balloon Text"/>
    <w:basedOn w:val="1"/>
    <w:link w:val="34"/>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link w:val="30"/>
    <w:qFormat/>
    <w:uiPriority w:val="0"/>
  </w:style>
  <w:style w:type="paragraph" w:styleId="13">
    <w:name w:val="Subtitle"/>
    <w:basedOn w:val="1"/>
    <w:next w:val="1"/>
    <w:qFormat/>
    <w:uiPriority w:val="11"/>
    <w:pPr>
      <w:spacing w:before="240" w:after="60" w:line="312" w:lineRule="auto"/>
      <w:jc w:val="center"/>
      <w:outlineLvl w:val="1"/>
    </w:pPr>
    <w:rPr>
      <w:b/>
      <w:bCs/>
      <w:kern w:val="28"/>
      <w:sz w:val="32"/>
      <w:szCs w:val="32"/>
    </w:rPr>
  </w:style>
  <w:style w:type="paragraph" w:styleId="14">
    <w:name w:val="toc 2"/>
    <w:basedOn w:val="1"/>
    <w:next w:val="1"/>
    <w:link w:val="29"/>
    <w:qFormat/>
    <w:uiPriority w:val="0"/>
    <w:pPr>
      <w:ind w:left="420" w:leftChars="200"/>
    </w:pPr>
  </w:style>
  <w:style w:type="paragraph" w:styleId="15">
    <w:name w:val="Title"/>
    <w:basedOn w:val="1"/>
    <w:next w:val="1"/>
    <w:qFormat/>
    <w:uiPriority w:val="10"/>
    <w:pPr>
      <w:spacing w:before="240" w:after="60"/>
      <w:jc w:val="center"/>
      <w:outlineLvl w:val="0"/>
    </w:pPr>
    <w:rPr>
      <w:rFonts w:ascii="等线 Light" w:hAnsi="等线 Light" w:eastAsia="等线 Light"/>
      <w:b/>
      <w:bCs/>
      <w:kern w:val="0"/>
      <w:sz w:val="32"/>
      <w:szCs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qFormat/>
    <w:uiPriority w:val="0"/>
    <w:rPr>
      <w:color w:val="000000"/>
      <w:u w:val="none"/>
    </w:rPr>
  </w:style>
  <w:style w:type="character" w:styleId="20">
    <w:name w:val="Hyperlink"/>
    <w:basedOn w:val="18"/>
    <w:qFormat/>
    <w:uiPriority w:val="0"/>
    <w:rPr>
      <w:color w:val="000000"/>
      <w:u w:val="none"/>
    </w:rPr>
  </w:style>
  <w:style w:type="paragraph" w:customStyle="1" w:styleId="21">
    <w:name w:val="正文文本缩进1"/>
    <w:basedOn w:val="1"/>
    <w:qFormat/>
    <w:uiPriority w:val="99"/>
    <w:pPr>
      <w:ind w:left="200" w:leftChars="200"/>
    </w:pPr>
  </w:style>
  <w:style w:type="paragraph" w:customStyle="1" w:styleId="22">
    <w:name w:val="正文首行缩进 21"/>
    <w:basedOn w:val="21"/>
    <w:next w:val="8"/>
    <w:qFormat/>
    <w:uiPriority w:val="99"/>
    <w:pPr>
      <w:ind w:firstLine="200"/>
    </w:pPr>
  </w:style>
  <w:style w:type="paragraph" w:customStyle="1" w:styleId="23">
    <w:name w:val="闻政表"/>
    <w:basedOn w:val="1"/>
    <w:qFormat/>
    <w:uiPriority w:val="0"/>
    <w:pPr>
      <w:spacing w:before="60" w:after="60"/>
      <w:jc w:val="center"/>
    </w:pPr>
    <w:rPr>
      <w:rFonts w:ascii="Times New Roman" w:hAnsi="Times New Roman" w:eastAsia="方正仿宋_GB2312"/>
      <w:b/>
      <w:kern w:val="0"/>
      <w:sz w:val="24"/>
      <w:szCs w:val="28"/>
    </w:rPr>
  </w:style>
  <w:style w:type="paragraph" w:customStyle="1" w:styleId="24">
    <w:name w:val="p0"/>
    <w:basedOn w:val="1"/>
    <w:qFormat/>
    <w:uiPriority w:val="99"/>
    <w:pPr>
      <w:widowControl/>
    </w:pPr>
    <w:rPr>
      <w:kern w:val="0"/>
      <w:sz w:val="32"/>
      <w:szCs w:val="32"/>
    </w:rPr>
  </w:style>
  <w:style w:type="paragraph" w:customStyle="1" w:styleId="25">
    <w:name w:val="WPSOffice手动目录 1"/>
    <w:qFormat/>
    <w:uiPriority w:val="0"/>
    <w:rPr>
      <w:rFonts w:ascii="Calibri" w:hAnsi="Calibri" w:eastAsia="锦绣宋体" w:cs="Times New Roman"/>
      <w:lang w:val="en-US" w:eastAsia="zh-CN" w:bidi="ar-SA"/>
    </w:rPr>
  </w:style>
  <w:style w:type="paragraph" w:customStyle="1" w:styleId="26">
    <w:name w:val="WPSOffice手动目录 2"/>
    <w:qFormat/>
    <w:uiPriority w:val="0"/>
    <w:pPr>
      <w:ind w:left="200" w:leftChars="200"/>
    </w:pPr>
    <w:rPr>
      <w:rFonts w:ascii="Calibri" w:hAnsi="Calibri" w:eastAsia="锦绣宋体" w:cs="Times New Roman"/>
      <w:lang w:val="en-US" w:eastAsia="zh-CN" w:bidi="ar-SA"/>
    </w:rPr>
  </w:style>
  <w:style w:type="character" w:customStyle="1" w:styleId="27">
    <w:name w:val="正文文本 Char"/>
    <w:link w:val="6"/>
    <w:qFormat/>
    <w:uiPriority w:val="0"/>
    <w:rPr>
      <w:rFonts w:ascii="方正仿宋_GB2312" w:eastAsia="方正仿宋_GB2312"/>
      <w:sz w:val="30"/>
    </w:rPr>
  </w:style>
  <w:style w:type="character" w:customStyle="1" w:styleId="28">
    <w:name w:val="普通(网站) Char"/>
    <w:link w:val="8"/>
    <w:autoRedefine/>
    <w:qFormat/>
    <w:uiPriority w:val="0"/>
    <w:rPr>
      <w:kern w:val="0"/>
      <w:sz w:val="24"/>
      <w:lang w:val="en-US" w:eastAsia="zh-CN"/>
    </w:rPr>
  </w:style>
  <w:style w:type="character" w:customStyle="1" w:styleId="29">
    <w:name w:val="目录 2 Char"/>
    <w:link w:val="14"/>
    <w:autoRedefine/>
    <w:qFormat/>
    <w:uiPriority w:val="0"/>
  </w:style>
  <w:style w:type="character" w:customStyle="1" w:styleId="30">
    <w:name w:val="目录 1 Char"/>
    <w:link w:val="12"/>
    <w:qFormat/>
    <w:uiPriority w:val="0"/>
  </w:style>
  <w:style w:type="paragraph" w:customStyle="1" w:styleId="31">
    <w:name w:val="TOC 标题1"/>
    <w:basedOn w:val="2"/>
    <w:next w:val="1"/>
    <w:unhideWhenUsed/>
    <w:qFormat/>
    <w:uiPriority w:val="39"/>
    <w:pPr>
      <w:widowControl/>
      <w:spacing w:before="240" w:line="259" w:lineRule="auto"/>
      <w:jc w:val="left"/>
      <w:outlineLvl w:val="9"/>
    </w:pPr>
    <w:rPr>
      <w:rFonts w:ascii="等线 Light" w:hAnsi="等线 Light" w:eastAsia="等线 Light" w:cs="Times New Roman"/>
      <w:b w:val="0"/>
      <w:color w:val="2E74B5"/>
      <w:kern w:val="0"/>
      <w:sz w:val="32"/>
      <w:szCs w:val="32"/>
    </w:rPr>
  </w:style>
  <w:style w:type="paragraph" w:customStyle="1" w:styleId="32">
    <w:name w:val="附件 正文"/>
    <w:basedOn w:val="1"/>
    <w:qFormat/>
    <w:uiPriority w:val="0"/>
    <w:pPr>
      <w:widowControl/>
      <w:adjustRightInd w:val="0"/>
      <w:snapToGrid w:val="0"/>
      <w:spacing w:afterLines="50" w:line="360" w:lineRule="auto"/>
      <w:ind w:firstLine="200"/>
      <w:jc w:val="left"/>
    </w:pPr>
    <w:rPr>
      <w:rFonts w:ascii="Tahoma" w:hAnsi="Tahoma"/>
      <w:kern w:val="0"/>
      <w:sz w:val="32"/>
    </w:rPr>
  </w:style>
  <w:style w:type="paragraph" w:styleId="33">
    <w:name w:val="List Paragraph"/>
    <w:basedOn w:val="1"/>
    <w:qFormat/>
    <w:uiPriority w:val="34"/>
    <w:pPr>
      <w:ind w:firstLine="420"/>
    </w:pPr>
  </w:style>
  <w:style w:type="character" w:customStyle="1" w:styleId="34">
    <w:name w:val="批注框文本 Char"/>
    <w:basedOn w:val="18"/>
    <w:link w:val="9"/>
    <w:qFormat/>
    <w:uiPriority w:val="0"/>
    <w:rPr>
      <w:rFonts w:eastAsia="仿宋" w:asciiTheme="minorHAnsi" w:hAnsiTheme="minorHAnsi" w:cstheme="minorBidi"/>
      <w:kern w:val="2"/>
      <w:sz w:val="18"/>
      <w:szCs w:val="18"/>
    </w:rPr>
  </w:style>
  <w:style w:type="character" w:customStyle="1" w:styleId="35">
    <w:name w:val="标题 2 Char"/>
    <w:link w:val="3"/>
    <w:qFormat/>
    <w:uiPriority w:val="0"/>
    <w:rPr>
      <w:rFonts w:ascii="Arial" w:hAnsi="Arial"/>
      <w:b/>
    </w:rPr>
  </w:style>
  <w:style w:type="character" w:customStyle="1" w:styleId="36">
    <w:name w:val="font11"/>
    <w:basedOn w:val="18"/>
    <w:autoRedefine/>
    <w:qFormat/>
    <w:uiPriority w:val="0"/>
    <w:rPr>
      <w:rFonts w:hint="eastAsia" w:ascii="黑体" w:hAnsi="宋体" w:eastAsia="黑体" w:cs="黑体"/>
      <w:color w:val="000000"/>
      <w:sz w:val="24"/>
      <w:szCs w:val="24"/>
      <w:u w:val="none"/>
    </w:rPr>
  </w:style>
  <w:style w:type="character" w:customStyle="1" w:styleId="37">
    <w:name w:val="font21"/>
    <w:basedOn w:val="18"/>
    <w:qFormat/>
    <w:uiPriority w:val="0"/>
    <w:rPr>
      <w:rFonts w:hint="default" w:ascii="方正仿宋_GB2312" w:eastAsia="方正仿宋_GB2312" w:cs="方正仿宋_GB2312"/>
      <w:color w:val="000000"/>
      <w:sz w:val="24"/>
      <w:szCs w:val="24"/>
      <w:u w:val="none"/>
    </w:rPr>
  </w:style>
  <w:style w:type="character" w:customStyle="1" w:styleId="38">
    <w:name w:val="font31"/>
    <w:basedOn w:val="18"/>
    <w:qFormat/>
    <w:uiPriority w:val="0"/>
    <w:rPr>
      <w:rFonts w:hint="default" w:ascii="Arial" w:hAnsi="Arial" w:cs="Arial"/>
      <w:color w:val="000000"/>
      <w:sz w:val="24"/>
      <w:szCs w:val="24"/>
      <w:u w:val="none"/>
    </w:rPr>
  </w:style>
  <w:style w:type="character" w:customStyle="1" w:styleId="39">
    <w:name w:val="font51"/>
    <w:basedOn w:val="18"/>
    <w:qFormat/>
    <w:uiPriority w:val="0"/>
    <w:rPr>
      <w:rFonts w:hint="eastAsia" w:ascii="宋体" w:hAnsi="宋体" w:eastAsia="宋体" w:cs="宋体"/>
      <w:color w:val="000000"/>
      <w:sz w:val="24"/>
      <w:szCs w:val="24"/>
      <w:u w:val="none"/>
    </w:rPr>
  </w:style>
  <w:style w:type="character" w:customStyle="1" w:styleId="40">
    <w:name w:val="font41"/>
    <w:basedOn w:val="18"/>
    <w:qFormat/>
    <w:uiPriority w:val="0"/>
    <w:rPr>
      <w:rFonts w:hint="default" w:ascii="Calibri" w:hAnsi="Calibri" w:cs="Calibri"/>
      <w:color w:val="000000"/>
      <w:sz w:val="24"/>
      <w:szCs w:val="24"/>
      <w:u w:val="none"/>
    </w:rPr>
  </w:style>
  <w:style w:type="character" w:customStyle="1" w:styleId="41">
    <w:name w:val="font01"/>
    <w:basedOn w:val="18"/>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70</Pages>
  <Words>21826</Words>
  <Characters>23793</Characters>
  <Lines>188</Lines>
  <Paragraphs>53</Paragraphs>
  <TotalTime>1</TotalTime>
  <ScaleCrop>false</ScaleCrop>
  <LinksUpToDate>false</LinksUpToDate>
  <CharactersWithSpaces>24444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2019-10-08T10:07:00Z</dcterms:created>
  <dc:creator>小7</dc:creator>
  <cp:lastModifiedBy>Administrator</cp:lastModifiedBy>
  <cp:lastPrinted>2021-11-05T09:30:00Z</cp:lastPrinted>
  <dcterms:modified xsi:type="dcterms:W3CDTF">2024-01-16T01:10:43Z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70003028BBAD43BEB7759CFF1144580D_13</vt:lpwstr>
  </property>
</Properties>
</file>