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117" w:line="222" w:lineRule="auto"/>
        <w:ind w:left="301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2"/>
          <w:sz w:val="36"/>
          <w:szCs w:val="36"/>
        </w:rPr>
        <w:t>晋民发〔2024〕4号</w:t>
      </w:r>
    </w:p>
    <w:p>
      <w:pPr>
        <w:spacing w:before="84" w:line="60" w:lineRule="exact"/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150" w:line="641" w:lineRule="exact"/>
        <w:ind w:left="786"/>
        <w:rPr>
          <w:sz w:val="46"/>
          <w:szCs w:val="46"/>
        </w:rPr>
      </w:pPr>
      <w:r>
        <w:rPr>
          <w:b/>
          <w:bCs/>
          <w:spacing w:val="-13"/>
          <w:position w:val="12"/>
          <w:sz w:val="46"/>
          <w:szCs w:val="46"/>
        </w:rPr>
        <w:t>山西省民政厅山西省财政厅关于印发</w:t>
      </w:r>
    </w:p>
    <w:p>
      <w:pPr>
        <w:pStyle w:val="2"/>
        <w:spacing w:before="1" w:line="219" w:lineRule="auto"/>
        <w:ind w:left="1016"/>
        <w:rPr>
          <w:sz w:val="50"/>
          <w:szCs w:val="50"/>
        </w:rPr>
      </w:pPr>
      <w:r>
        <w:rPr>
          <w:b/>
          <w:bCs/>
          <w:spacing w:val="-50"/>
          <w:w w:val="98"/>
          <w:sz w:val="50"/>
          <w:szCs w:val="50"/>
        </w:rPr>
        <w:t>《高龄津贴发放实施方案》的通知</w:t>
      </w:r>
    </w:p>
    <w:p>
      <w:pPr>
        <w:spacing w:line="346" w:lineRule="auto"/>
        <w:rPr>
          <w:rFonts w:ascii="Arial"/>
          <w:sz w:val="21"/>
        </w:rPr>
      </w:pPr>
    </w:p>
    <w:p>
      <w:pPr>
        <w:spacing w:before="117" w:line="222" w:lineRule="auto"/>
        <w:ind w:left="209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42"/>
          <w:sz w:val="36"/>
          <w:szCs w:val="36"/>
        </w:rPr>
        <w:t>各市民政局、财政局：</w:t>
      </w:r>
    </w:p>
    <w:p>
      <w:pPr>
        <w:spacing w:before="161" w:line="308" w:lineRule="auto"/>
        <w:ind w:left="209" w:right="244" w:firstLine="670"/>
        <w:jc w:val="both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37"/>
          <w:sz w:val="36"/>
          <w:szCs w:val="36"/>
        </w:rPr>
        <w:t>为贯彻落实2024年《省政府工作报告》“为80周岁及</w:t>
      </w:r>
      <w:r>
        <w:rPr>
          <w:rFonts w:ascii="仿宋" w:hAnsi="仿宋" w:eastAsia="仿宋" w:cs="仿宋"/>
          <w:sz w:val="36"/>
          <w:szCs w:val="36"/>
        </w:rPr>
        <w:t xml:space="preserve"> </w:t>
      </w:r>
      <w:r>
        <w:rPr>
          <w:rFonts w:ascii="仿宋" w:hAnsi="仿宋" w:eastAsia="仿宋" w:cs="仿宋"/>
          <w:spacing w:val="-41"/>
          <w:sz w:val="36"/>
          <w:szCs w:val="36"/>
        </w:rPr>
        <w:t>以上老年人发放高龄津贴”省政府民生实事决策部署，制定</w:t>
      </w:r>
    </w:p>
    <w:p>
      <w:pPr>
        <w:spacing w:before="1" w:line="220" w:lineRule="auto"/>
        <w:ind w:left="29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35"/>
          <w:sz w:val="36"/>
          <w:szCs w:val="36"/>
        </w:rPr>
        <w:t>了《高龄津贴发放实施方案》,现印发给你们，请结合实际</w:t>
      </w:r>
    </w:p>
    <w:p>
      <w:pPr>
        <w:spacing w:before="175" w:line="222" w:lineRule="auto"/>
        <w:ind w:left="209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44"/>
          <w:sz w:val="36"/>
          <w:szCs w:val="36"/>
        </w:rPr>
        <w:t>贯彻落实。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118" w:line="222" w:lineRule="auto"/>
        <w:ind w:left="5980"/>
        <w:rPr>
          <w:rFonts w:ascii="仿宋" w:hAnsi="仿宋" w:eastAsia="仿宋" w:cs="仿宋"/>
          <w:sz w:val="36"/>
          <w:szCs w:val="36"/>
        </w:rPr>
      </w:pPr>
      <w:r>
        <w:pict>
          <v:shape id="_x0000_s1026" o:spid="_x0000_s1026" o:spt="202" type="#_x0000_t202" style="position:absolute;left:0pt;margin-left:177.5pt;margin-top:-31.05pt;height:23.75pt;width:95.1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jc w:val="right"/>
                    <w:rPr>
                      <w:rFonts w:ascii="仿宋" w:hAnsi="仿宋" w:eastAsia="仿宋" w:cs="仿宋"/>
                      <w:sz w:val="36"/>
                      <w:szCs w:val="36"/>
                    </w:rPr>
                  </w:pPr>
                  <w:r>
                    <w:rPr>
                      <w:rFonts w:ascii="仿宋" w:hAnsi="仿宋" w:eastAsia="仿宋" w:cs="仿宋"/>
                      <w:spacing w:val="-53"/>
                      <w:sz w:val="36"/>
                      <w:szCs w:val="36"/>
                    </w:rPr>
                    <w:t>山西省民</w:t>
                  </w:r>
                  <w:r>
                    <w:rPr>
                      <w:rFonts w:ascii="仿宋" w:hAnsi="仿宋" w:eastAsia="仿宋" w:cs="仿宋"/>
                      <w:spacing w:val="-52"/>
                      <w:sz w:val="36"/>
                      <w:szCs w:val="36"/>
                    </w:rPr>
                    <w:t>政</w:t>
                  </w:r>
                  <w:r>
                    <w:rPr>
                      <w:rFonts w:ascii="仿宋" w:hAnsi="仿宋" w:eastAsia="仿宋" w:cs="仿宋"/>
                      <w:spacing w:val="-36"/>
                      <w:sz w:val="36"/>
                      <w:szCs w:val="36"/>
                    </w:rPr>
                    <w:t>厅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14pt;margin-top:-31.55pt;height:23.75pt;width:95.6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jc w:val="right"/>
                    <w:rPr>
                      <w:rFonts w:ascii="仿宋" w:hAnsi="仿宋" w:eastAsia="仿宋" w:cs="仿宋"/>
                      <w:sz w:val="36"/>
                      <w:szCs w:val="36"/>
                    </w:rPr>
                  </w:pPr>
                  <w:r>
                    <w:rPr>
                      <w:rFonts w:ascii="仿宋" w:hAnsi="仿宋" w:eastAsia="仿宋" w:cs="仿宋"/>
                      <w:spacing w:val="-52"/>
                      <w:sz w:val="36"/>
                      <w:szCs w:val="36"/>
                    </w:rPr>
                    <w:t>山西省</w:t>
                  </w:r>
                  <w:r>
                    <w:rPr>
                      <w:rFonts w:ascii="仿宋" w:hAnsi="仿宋" w:eastAsia="仿宋" w:cs="仿宋"/>
                      <w:spacing w:val="-51"/>
                      <w:sz w:val="36"/>
                      <w:szCs w:val="36"/>
                    </w:rPr>
                    <w:t>财政</w:t>
                  </w:r>
                  <w:r>
                    <w:rPr>
                      <w:rFonts w:ascii="仿宋" w:hAnsi="仿宋" w:eastAsia="仿宋" w:cs="仿宋"/>
                      <w:spacing w:val="-36"/>
                      <w:sz w:val="36"/>
                      <w:szCs w:val="36"/>
                    </w:rPr>
                    <w:t>厅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17"/>
          <w:sz w:val="36"/>
          <w:szCs w:val="36"/>
        </w:rPr>
        <w:t>2024年2月6日</w:t>
      </w:r>
    </w:p>
    <w:p>
      <w:pPr>
        <w:spacing w:before="182" w:line="220" w:lineRule="auto"/>
        <w:ind w:left="349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5"/>
          <w:sz w:val="36"/>
          <w:szCs w:val="36"/>
        </w:rPr>
        <w:t>(此件依申请公开)</w:t>
      </w:r>
    </w:p>
    <w:p>
      <w:pPr>
        <w:spacing w:line="220" w:lineRule="auto"/>
        <w:rPr>
          <w:rFonts w:ascii="仿宋" w:hAnsi="仿宋" w:eastAsia="仿宋" w:cs="仿宋"/>
          <w:sz w:val="36"/>
          <w:szCs w:val="36"/>
        </w:rPr>
        <w:sectPr>
          <w:footerReference r:id="rId5" w:type="default"/>
          <w:pgSz w:w="12060" w:h="16940"/>
          <w:pgMar w:top="1439" w:right="1730" w:bottom="1161" w:left="1579" w:header="0" w:footer="862" w:gutter="0"/>
          <w:cols w:space="720" w:num="1"/>
        </w:sectPr>
      </w:pPr>
    </w:p>
    <w:p>
      <w:pPr>
        <w:pStyle w:val="2"/>
        <w:spacing w:before="291" w:line="219" w:lineRule="auto"/>
        <w:ind w:left="2056"/>
        <w:rPr>
          <w:sz w:val="43"/>
          <w:szCs w:val="43"/>
        </w:rPr>
      </w:pPr>
      <w:r>
        <w:rPr>
          <w:b/>
          <w:bCs/>
          <w:spacing w:val="-1"/>
          <w:sz w:val="43"/>
          <w:szCs w:val="43"/>
        </w:rPr>
        <w:t>高龄津贴发放实施方案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98" w:line="436" w:lineRule="auto"/>
        <w:ind w:right="206" w:firstLine="73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3"/>
          <w:sz w:val="30"/>
          <w:szCs w:val="30"/>
        </w:rPr>
        <w:t>“为80周岁及以上老年人发放高龄津贴”已列为2024</w:t>
      </w:r>
      <w:r>
        <w:rPr>
          <w:rFonts w:ascii="仿宋" w:hAnsi="仿宋" w:eastAsia="仿宋" w:cs="仿宋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年省政府民生实事，为全面落实省政府决策部署，切实做好</w:t>
      </w:r>
    </w:p>
    <w:p>
      <w:pPr>
        <w:spacing w:line="220" w:lineRule="auto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全省高龄津贴发放工作，制定本方案。</w:t>
      </w:r>
    </w:p>
    <w:p>
      <w:pPr>
        <w:spacing w:line="245" w:lineRule="auto"/>
        <w:rPr>
          <w:rFonts w:ascii="Arial"/>
          <w:sz w:val="21"/>
        </w:rPr>
      </w:pPr>
    </w:p>
    <w:p>
      <w:pPr>
        <w:spacing w:before="97" w:line="222" w:lineRule="auto"/>
        <w:ind w:left="664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0"/>
          <w:sz w:val="30"/>
          <w:szCs w:val="30"/>
        </w:rPr>
        <w:t>一、指导思想</w:t>
      </w:r>
    </w:p>
    <w:p>
      <w:pPr>
        <w:spacing w:before="315" w:line="431" w:lineRule="auto"/>
        <w:ind w:right="125" w:firstLine="65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全面贯彻落实党的二十大报告“实施积极应对人口老龄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化国家战略，发展养老事业和养老产业，优化孤寡老人服务，</w:t>
      </w:r>
      <w:r>
        <w:rPr>
          <w:rFonts w:ascii="仿宋" w:hAnsi="仿宋" w:eastAsia="仿宋" w:cs="仿宋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推动实现全体老年人享有基本养老服务”和山西省第十二次</w:t>
      </w:r>
      <w:r>
        <w:rPr>
          <w:rFonts w:ascii="仿宋" w:hAnsi="仿宋" w:eastAsia="仿宋" w:cs="仿宋"/>
          <w:spacing w:val="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党代会报告“坚持以人民为中心的发展思想，民生投入要只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增不减、惠民力度要只强不弱”的要求，落实《山西省人民</w:t>
      </w:r>
      <w:r>
        <w:rPr>
          <w:rFonts w:ascii="仿宋" w:hAnsi="仿宋" w:eastAsia="仿宋" w:cs="仿宋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政府办公厅关于印发&lt;山西省基本养老服务体系建</w:t>
      </w:r>
      <w:r>
        <w:rPr>
          <w:rFonts w:ascii="仿宋" w:hAnsi="仿宋" w:eastAsia="仿宋" w:cs="仿宋"/>
          <w:spacing w:val="21"/>
          <w:sz w:val="30"/>
          <w:szCs w:val="30"/>
        </w:rPr>
        <w:t>设实施方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6"/>
          <w:sz w:val="30"/>
          <w:szCs w:val="30"/>
        </w:rPr>
        <w:t>案&gt;的通知》(晋政办发〔2023〕34号),加大公共财政支</w:t>
      </w:r>
      <w:r>
        <w:rPr>
          <w:rFonts w:ascii="仿宋" w:hAnsi="仿宋" w:eastAsia="仿宋" w:cs="仿宋"/>
          <w:spacing w:val="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持力度，健全高龄老人社会保障体系，增进高龄老年人福祉，</w:t>
      </w:r>
    </w:p>
    <w:p>
      <w:pPr>
        <w:spacing w:before="1" w:line="220" w:lineRule="auto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2"/>
          <w:sz w:val="30"/>
          <w:szCs w:val="30"/>
        </w:rPr>
        <w:t>推动实现基本养老服务均等化。</w:t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98" w:line="222" w:lineRule="auto"/>
        <w:ind w:left="664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二</w:t>
      </w:r>
      <w:r>
        <w:rPr>
          <w:rFonts w:ascii="黑体" w:hAnsi="黑体" w:eastAsia="黑体" w:cs="黑体"/>
          <w:spacing w:val="-3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、工作目标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99" w:line="431" w:lineRule="auto"/>
        <w:ind w:right="200" w:firstLine="65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9"/>
          <w:sz w:val="30"/>
          <w:szCs w:val="30"/>
        </w:rPr>
        <w:t>为具有山西省户籍且年满80周岁及以上老年人</w:t>
      </w:r>
      <w:r>
        <w:rPr>
          <w:rFonts w:ascii="仿宋" w:hAnsi="仿宋" w:eastAsia="仿宋" w:cs="仿宋"/>
          <w:spacing w:val="28"/>
          <w:sz w:val="30"/>
          <w:szCs w:val="30"/>
        </w:rPr>
        <w:t>发放高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龄津贴，规范发放管理，确保符合条件的老年人应发尽发，</w:t>
      </w:r>
    </w:p>
    <w:p>
      <w:pPr>
        <w:spacing w:before="1" w:line="221" w:lineRule="auto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0"/>
          <w:sz w:val="30"/>
          <w:szCs w:val="30"/>
        </w:rPr>
        <w:t>切实维护高龄老年人权益。</w:t>
      </w:r>
    </w:p>
    <w:p>
      <w:pPr>
        <w:spacing w:line="221" w:lineRule="auto"/>
        <w:rPr>
          <w:rFonts w:ascii="仿宋" w:hAnsi="仿宋" w:eastAsia="仿宋" w:cs="仿宋"/>
          <w:sz w:val="30"/>
          <w:szCs w:val="30"/>
        </w:rPr>
        <w:sectPr>
          <w:footerReference r:id="rId6" w:type="default"/>
          <w:pgSz w:w="11900" w:h="16830"/>
          <w:pgMar w:top="1430" w:right="1785" w:bottom="1060" w:left="1660" w:header="0" w:footer="763" w:gutter="0"/>
          <w:cols w:space="720" w:num="1"/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222" w:lineRule="auto"/>
        <w:ind w:left="67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2"/>
          <w:sz w:val="31"/>
          <w:szCs w:val="31"/>
        </w:rPr>
        <w:t>三、</w:t>
      </w:r>
      <w:r>
        <w:rPr>
          <w:rFonts w:ascii="黑体" w:hAnsi="黑体" w:eastAsia="黑体" w:cs="黑体"/>
          <w:spacing w:val="-6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2"/>
          <w:sz w:val="31"/>
          <w:szCs w:val="31"/>
        </w:rPr>
        <w:t>工作措施</w:t>
      </w:r>
    </w:p>
    <w:p>
      <w:pPr>
        <w:pStyle w:val="2"/>
        <w:spacing w:before="337" w:line="417" w:lineRule="auto"/>
        <w:ind w:left="4" w:firstLine="78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b/>
          <w:bCs/>
          <w:spacing w:val="15"/>
          <w:sz w:val="31"/>
          <w:szCs w:val="31"/>
        </w:rPr>
        <w:t>(</w:t>
      </w:r>
      <w:r>
        <w:rPr>
          <w:rFonts w:ascii="楷体" w:hAnsi="楷体" w:eastAsia="楷体" w:cs="楷体"/>
          <w:spacing w:val="-66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5"/>
          <w:sz w:val="31"/>
          <w:szCs w:val="31"/>
        </w:rPr>
        <w:t>一</w:t>
      </w:r>
      <w:r>
        <w:rPr>
          <w:rFonts w:ascii="楷体" w:hAnsi="楷体" w:eastAsia="楷体" w:cs="楷体"/>
          <w:spacing w:val="-9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5"/>
          <w:sz w:val="31"/>
          <w:szCs w:val="31"/>
        </w:rPr>
        <w:t>)制定政策</w:t>
      </w:r>
      <w:r>
        <w:rPr>
          <w:b/>
          <w:bCs/>
          <w:spacing w:val="15"/>
          <w:sz w:val="31"/>
          <w:szCs w:val="31"/>
        </w:rPr>
        <w:t>。</w:t>
      </w:r>
      <w:r>
        <w:rPr>
          <w:rFonts w:ascii="仿宋" w:hAnsi="仿宋" w:eastAsia="仿宋" w:cs="仿宋"/>
          <w:spacing w:val="15"/>
          <w:sz w:val="31"/>
          <w:szCs w:val="31"/>
        </w:rPr>
        <w:t>2月上旬，省级出台高龄津贴实施方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7"/>
          <w:sz w:val="31"/>
          <w:szCs w:val="31"/>
        </w:rPr>
        <w:t>案。2月底前，各市、县(市、区)根据《山西省民政厅山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3"/>
          <w:sz w:val="31"/>
          <w:szCs w:val="31"/>
        </w:rPr>
        <w:t>西省财政厅关于发放高龄津贴的通知》(晋民发〔2023〕49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号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) 、 《山西省民政厅山西省财政厅山西省老龄工作委员  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会办公室关于进一步做好高龄津贴发放有关具体问题的通  </w:t>
      </w:r>
      <w:r>
        <w:rPr>
          <w:rFonts w:ascii="仿宋" w:hAnsi="仿宋" w:eastAsia="仿宋" w:cs="仿宋"/>
          <w:spacing w:val="27"/>
          <w:sz w:val="31"/>
          <w:szCs w:val="31"/>
        </w:rPr>
        <w:t>知》(晋民函〔2024〕8号),按照“量力而行，稳步提高”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的原则，出台当地高龄津贴政策和实施方案，科学合理确定</w:t>
      </w:r>
    </w:p>
    <w:p>
      <w:pPr>
        <w:spacing w:before="1" w:line="220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高龄津贴标准，根据经济社会发展水平建立动态调整</w:t>
      </w:r>
      <w:r>
        <w:rPr>
          <w:rFonts w:ascii="仿宋" w:hAnsi="仿宋" w:eastAsia="仿宋" w:cs="仿宋"/>
          <w:spacing w:val="5"/>
          <w:sz w:val="31"/>
          <w:szCs w:val="31"/>
        </w:rPr>
        <w:t>机制，</w:t>
      </w:r>
    </w:p>
    <w:p>
      <w:pPr>
        <w:spacing w:before="329" w:line="222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明确补贴标准、补贴方式、发放渠道等，向省民政厅备案。</w:t>
      </w:r>
    </w:p>
    <w:p>
      <w:pPr>
        <w:pStyle w:val="2"/>
        <w:spacing w:before="304" w:line="413" w:lineRule="auto"/>
        <w:ind w:left="4" w:right="232" w:firstLine="784"/>
        <w:rPr>
          <w:rFonts w:ascii="仿宋" w:hAnsi="仿宋" w:eastAsia="仿宋" w:cs="仿宋"/>
          <w:sz w:val="31"/>
          <w:szCs w:val="31"/>
        </w:rPr>
      </w:pPr>
      <w:r>
        <w:rPr>
          <w:rFonts w:ascii="STXingkai" w:hAnsi="STXingkai" w:eastAsia="STXingkai" w:cs="STXingkai"/>
          <w:b/>
          <w:bCs/>
          <w:spacing w:val="19"/>
          <w:sz w:val="31"/>
          <w:szCs w:val="31"/>
        </w:rPr>
        <w:t>(二)摸清人数</w:t>
      </w:r>
      <w:r>
        <w:rPr>
          <w:b/>
          <w:bCs/>
          <w:spacing w:val="19"/>
          <w:sz w:val="31"/>
          <w:szCs w:val="31"/>
        </w:rPr>
        <w:t>。</w:t>
      </w:r>
      <w:r>
        <w:rPr>
          <w:rFonts w:ascii="仿宋" w:hAnsi="仿宋" w:eastAsia="仿宋" w:cs="仿宋"/>
          <w:spacing w:val="19"/>
          <w:sz w:val="31"/>
          <w:szCs w:val="31"/>
        </w:rPr>
        <w:t>各级民政部门要牵头做好高龄津贴的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发放工作，加强与公安、老龄办(卫健)、社保等部门的协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作，依托居(村)民委员会全面摸排高龄老人数量，做好高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龄老年人的信息核查，摸清发放对象人数，建立高龄老年人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信息档案。2月底前，各市、县(市。区)要完成补贴对象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摸底工作，建立补贴台账，做好进退出情况统计。3月底前</w:t>
      </w:r>
    </w:p>
    <w:p>
      <w:pPr>
        <w:spacing w:before="1" w:line="221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高龄津贴全员足额发放到位。</w:t>
      </w:r>
    </w:p>
    <w:p>
      <w:pPr>
        <w:spacing w:before="328" w:line="738" w:lineRule="exact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STXingkai" w:hAnsi="STXingkai" w:eastAsia="STXingkai" w:cs="STXingkai"/>
          <w:b/>
          <w:bCs/>
          <w:spacing w:val="19"/>
          <w:position w:val="31"/>
          <w:sz w:val="31"/>
          <w:szCs w:val="31"/>
        </w:rPr>
        <w:t>(三)津贴发放</w:t>
      </w:r>
      <w:r>
        <w:rPr>
          <w:rFonts w:ascii="仿宋" w:hAnsi="仿宋" w:eastAsia="仿宋" w:cs="仿宋"/>
          <w:b/>
          <w:bCs/>
          <w:spacing w:val="19"/>
          <w:position w:val="31"/>
          <w:sz w:val="31"/>
          <w:szCs w:val="31"/>
        </w:rPr>
        <w:t>。</w:t>
      </w:r>
      <w:r>
        <w:rPr>
          <w:rFonts w:ascii="仿宋" w:hAnsi="仿宋" w:eastAsia="仿宋" w:cs="仿宋"/>
          <w:spacing w:val="19"/>
          <w:position w:val="31"/>
          <w:sz w:val="31"/>
          <w:szCs w:val="31"/>
        </w:rPr>
        <w:t>高龄津贴原则上按月发放，达到年龄</w:t>
      </w:r>
    </w:p>
    <w:p>
      <w:pPr>
        <w:spacing w:before="1" w:line="220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条件的当月享受津贴。发放对象去世或户籍迁出的次月停止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7" w:type="default"/>
          <w:pgSz w:w="11900" w:h="16830"/>
          <w:pgMar w:top="1430" w:right="1567" w:bottom="1017" w:left="1785" w:header="0" w:footer="709" w:gutter="0"/>
          <w:cols w:space="720" w:num="1"/>
        </w:sectPr>
      </w:pPr>
    </w:p>
    <w:p>
      <w:pPr>
        <w:spacing w:before="258" w:line="417" w:lineRule="auto"/>
        <w:ind w:right="22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发放。市县机构改革完成前，晋民发〔2023〕49号通知下发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前已发放津贴的仍由原部门发放，之后纳入发放范围的老年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人由民政部门发放，机构改革完成后，统一由民政部门负责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发放。高龄津贴发放纳入惠民惠农“一卡通</w:t>
      </w:r>
      <w:r>
        <w:rPr>
          <w:rFonts w:ascii="仿宋" w:hAnsi="仿宋" w:eastAsia="仿宋" w:cs="仿宋"/>
          <w:spacing w:val="7"/>
          <w:sz w:val="31"/>
          <w:szCs w:val="31"/>
        </w:rPr>
        <w:t>”管理，实行社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会化发放。各市于每月25日前报送高龄津</w:t>
      </w:r>
      <w:r>
        <w:rPr>
          <w:rFonts w:ascii="仿宋" w:hAnsi="仿宋" w:eastAsia="仿宋" w:cs="仿宋"/>
          <w:spacing w:val="19"/>
          <w:sz w:val="31"/>
          <w:szCs w:val="31"/>
        </w:rPr>
        <w:t>贴发放情况，包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括资金使用及发放对象情况。</w:t>
      </w:r>
    </w:p>
    <w:p>
      <w:pPr>
        <w:spacing w:before="322" w:line="222" w:lineRule="auto"/>
        <w:ind w:left="69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四、工作要求</w:t>
      </w:r>
    </w:p>
    <w:p>
      <w:pPr>
        <w:spacing w:before="336" w:line="417" w:lineRule="auto"/>
        <w:ind w:right="187" w:firstLine="82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b/>
          <w:bCs/>
          <w:spacing w:val="13"/>
          <w:sz w:val="31"/>
          <w:szCs w:val="31"/>
        </w:rPr>
        <w:t>(一)加强组织保障。</w:t>
      </w:r>
      <w:r>
        <w:rPr>
          <w:rFonts w:ascii="仿宋" w:hAnsi="仿宋" w:eastAsia="仿宋" w:cs="仿宋"/>
          <w:spacing w:val="13"/>
          <w:sz w:val="31"/>
          <w:szCs w:val="31"/>
        </w:rPr>
        <w:t>各级民政部门要高度重视，切实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将高龄津贴发放工作列入年度重点任务。民政部门要</w:t>
      </w:r>
      <w:r>
        <w:rPr>
          <w:rFonts w:ascii="仿宋" w:hAnsi="仿宋" w:eastAsia="仿宋" w:cs="仿宋"/>
          <w:spacing w:val="7"/>
          <w:sz w:val="31"/>
          <w:szCs w:val="31"/>
        </w:rPr>
        <w:t>主动协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调老龄部门，做好机构改革前的衔接工作，民</w:t>
      </w:r>
      <w:r>
        <w:rPr>
          <w:rFonts w:ascii="仿宋" w:hAnsi="仿宋" w:eastAsia="仿宋" w:cs="仿宋"/>
          <w:spacing w:val="7"/>
          <w:sz w:val="31"/>
          <w:szCs w:val="31"/>
        </w:rPr>
        <w:t>政相关业务科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室要紧密配合，认真做好发放对象的审定和发放工</w:t>
      </w:r>
      <w:r>
        <w:rPr>
          <w:rFonts w:ascii="仿宋" w:hAnsi="仿宋" w:eastAsia="仿宋" w:cs="仿宋"/>
          <w:spacing w:val="6"/>
          <w:sz w:val="31"/>
          <w:szCs w:val="31"/>
        </w:rPr>
        <w:t>作，及时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解决工作中遇到的困难和问题。</w:t>
      </w:r>
    </w:p>
    <w:p>
      <w:pPr>
        <w:spacing w:line="246" w:lineRule="auto"/>
        <w:rPr>
          <w:rFonts w:ascii="Arial"/>
          <w:sz w:val="21"/>
        </w:rPr>
      </w:pPr>
    </w:p>
    <w:p>
      <w:pPr>
        <w:spacing w:before="102" w:line="418" w:lineRule="auto"/>
        <w:ind w:right="188" w:firstLine="82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b/>
          <w:bCs/>
          <w:spacing w:val="6"/>
          <w:sz w:val="31"/>
          <w:szCs w:val="31"/>
        </w:rPr>
        <w:t>(二)加强资金保障</w:t>
      </w:r>
      <w:r>
        <w:rPr>
          <w:rFonts w:ascii="楷体" w:hAnsi="楷体" w:eastAsia="楷体" w:cs="楷体"/>
          <w:spacing w:val="6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6"/>
          <w:sz w:val="31"/>
          <w:szCs w:val="31"/>
        </w:rPr>
        <w:t>。</w:t>
      </w:r>
      <w:r>
        <w:rPr>
          <w:rFonts w:ascii="仿宋" w:hAnsi="仿宋" w:eastAsia="仿宋" w:cs="仿宋"/>
          <w:spacing w:val="6"/>
          <w:sz w:val="31"/>
          <w:szCs w:val="31"/>
        </w:rPr>
        <w:t>高龄津贴所需资金原则上由户籍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所在地财政负担。省、市财政给予适当补助，各级财政要足</w:t>
      </w:r>
    </w:p>
    <w:p>
      <w:pPr>
        <w:spacing w:before="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额安排预算资金。</w:t>
      </w:r>
    </w:p>
    <w:p>
      <w:pPr>
        <w:spacing w:before="318" w:line="419" w:lineRule="auto"/>
        <w:ind w:right="120" w:firstLine="82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b/>
          <w:bCs/>
          <w:spacing w:val="13"/>
          <w:sz w:val="31"/>
          <w:szCs w:val="31"/>
        </w:rPr>
        <w:t>(三)加强动态管理。</w:t>
      </w:r>
      <w:r>
        <w:rPr>
          <w:rFonts w:ascii="仿宋" w:hAnsi="仿宋" w:eastAsia="仿宋" w:cs="仿宋"/>
          <w:spacing w:val="13"/>
          <w:sz w:val="31"/>
          <w:szCs w:val="31"/>
        </w:rPr>
        <w:t>各市县要安排专人负责，切实做</w:t>
      </w:r>
      <w:r>
        <w:rPr>
          <w:rFonts w:ascii="仿宋" w:hAnsi="仿宋" w:eastAsia="仿宋" w:cs="仿宋"/>
          <w:sz w:val="31"/>
          <w:szCs w:val="31"/>
        </w:rPr>
        <w:t xml:space="preserve"> 好发放对象的认定、复核工作，民政部门要牵头加强与公安、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sz w:val="31"/>
          <w:szCs w:val="31"/>
        </w:rPr>
        <w:t>老龄办(卫健)、社保等部门的协作，做好80周岁及以上</w:t>
      </w:r>
    </w:p>
    <w:p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老年人基础数据的日常管理，每个月末及时更新老年人新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0" w:h="16830"/>
          <w:pgMar w:top="1430" w:right="1785" w:bottom="1117" w:left="1619" w:header="0" w:footer="810" w:gutter="0"/>
          <w:cols w:space="720" w:num="1"/>
        </w:sectPr>
      </w:pPr>
    </w:p>
    <w:p>
      <w:pPr>
        <w:spacing w:before="337" w:line="221" w:lineRule="auto"/>
        <w:ind w:left="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增、变更、注销等数据，确保高龄津贴发放到位。</w:t>
      </w:r>
    </w:p>
    <w:p>
      <w:pPr>
        <w:spacing w:before="293" w:line="405" w:lineRule="auto"/>
        <w:ind w:left="89" w:right="110" w:firstLine="804"/>
        <w:rPr>
          <w:rFonts w:ascii="仿宋" w:hAnsi="仿宋" w:eastAsia="仿宋" w:cs="仿宋"/>
          <w:sz w:val="32"/>
          <w:szCs w:val="32"/>
        </w:rPr>
      </w:pPr>
      <w:r>
        <w:rPr>
          <w:rFonts w:ascii="楷体" w:hAnsi="楷体" w:eastAsia="楷体" w:cs="楷体"/>
          <w:b/>
          <w:bCs/>
          <w:spacing w:val="3"/>
          <w:sz w:val="32"/>
          <w:szCs w:val="32"/>
        </w:rPr>
        <w:t>(四)强化指导检查。</w:t>
      </w:r>
      <w:r>
        <w:rPr>
          <w:rFonts w:ascii="仿宋" w:hAnsi="仿宋" w:eastAsia="仿宋" w:cs="仿宋"/>
          <w:spacing w:val="3"/>
          <w:sz w:val="32"/>
          <w:szCs w:val="32"/>
        </w:rPr>
        <w:t>县级责任部门要加强监督管理，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发现问题及时纠正，确保进出合理有序，不漏发、不多发，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专款专用，对采取虚报、隐瞒、伪造等非法手段骗取高龄津</w:t>
      </w:r>
    </w:p>
    <w:p>
      <w:pPr>
        <w:spacing w:line="222" w:lineRule="auto"/>
        <w:ind w:left="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贴的，依法追回资金，构成犯罪的，依法追究法律责任。</w:t>
      </w:r>
    </w:p>
    <w:p>
      <w:pPr>
        <w:spacing w:line="242" w:lineRule="auto"/>
        <w:rPr>
          <w:rFonts w:ascii="Arial"/>
          <w:sz w:val="21"/>
        </w:rPr>
      </w:pPr>
    </w:p>
    <w:p>
      <w:pPr>
        <w:spacing w:before="104" w:line="230" w:lineRule="auto"/>
        <w:ind w:left="894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6"/>
          <w:sz w:val="32"/>
          <w:szCs w:val="32"/>
        </w:rPr>
        <w:t>(五)加大宣传力度。</w:t>
      </w:r>
    </w:p>
    <w:p>
      <w:pPr>
        <w:spacing w:before="304" w:line="405" w:lineRule="auto"/>
        <w:ind w:left="89" w:firstLine="63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各地要通过官方网站、大众媒体，社区宣传栏、公示栏、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制作宣传板报，入户宣传等方式加大对高龄津贴政策的宣传</w:t>
      </w:r>
    </w:p>
    <w:p>
      <w:pPr>
        <w:spacing w:line="222" w:lineRule="auto"/>
        <w:ind w:left="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解读，应设置公开咨询电话，及时解决群众疑问。</w:t>
      </w: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tbl>
      <w:tblPr>
        <w:tblStyle w:val="5"/>
        <w:tblW w:w="8389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9"/>
        <w:gridCol w:w="426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389" w:type="dxa"/>
            <w:gridSpan w:val="2"/>
            <w:tcBorders>
              <w:top w:val="single" w:color="000000" w:sz="8" w:space="0"/>
              <w:bottom w:val="single" w:color="000000" w:sz="2" w:space="0"/>
            </w:tcBorders>
            <w:vAlign w:val="top"/>
          </w:tcPr>
          <w:p>
            <w:pPr>
              <w:spacing w:before="195" w:line="220" w:lineRule="auto"/>
              <w:ind w:left="329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17"/>
                <w:sz w:val="26"/>
                <w:szCs w:val="26"/>
              </w:rPr>
              <w:t>抄送：山西省老龄工作委员会办公室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129" w:type="dxa"/>
            <w:tcBorders>
              <w:top w:val="single" w:color="000000" w:sz="2" w:space="0"/>
              <w:bottom w:val="single" w:color="000000" w:sz="8" w:space="0"/>
            </w:tcBorders>
            <w:vAlign w:val="top"/>
          </w:tcPr>
          <w:p>
            <w:pPr>
              <w:spacing w:before="209" w:line="223" w:lineRule="auto"/>
              <w:ind w:left="359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14"/>
                <w:sz w:val="26"/>
                <w:szCs w:val="26"/>
              </w:rPr>
              <w:t>山西省民政厅办公室</w:t>
            </w:r>
          </w:p>
        </w:tc>
        <w:tc>
          <w:tcPr>
            <w:tcW w:w="4260" w:type="dxa"/>
            <w:tcBorders>
              <w:top w:val="single" w:color="000000" w:sz="2" w:space="0"/>
              <w:bottom w:val="single" w:color="000000" w:sz="8" w:space="0"/>
            </w:tcBorders>
            <w:vAlign w:val="top"/>
          </w:tcPr>
          <w:p>
            <w:pPr>
              <w:spacing w:before="227" w:line="222" w:lineRule="auto"/>
              <w:ind w:left="1390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44"/>
                <w:sz w:val="26"/>
                <w:szCs w:val="26"/>
              </w:rPr>
              <w:t>2024年2月6日印发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30"/>
          <w:pgMar w:top="1430" w:right="1709" w:bottom="1032" w:left="1710" w:header="0" w:footer="717" w:gutter="0"/>
          <w:cols w:space="720" w:num="1"/>
        </w:sectPr>
      </w:pPr>
    </w:p>
    <w:p>
      <w:pPr>
        <w:rPr>
          <w:rFonts w:ascii="Arial"/>
          <w:sz w:val="21"/>
        </w:rPr>
      </w:pPr>
      <w:bookmarkStart w:id="0" w:name="_GoBack"/>
      <w:bookmarkEnd w:id="0"/>
    </w:p>
    <w:sectPr>
      <w:headerReference r:id="rId10" w:type="default"/>
      <w:footerReference r:id="rId11" w:type="default"/>
      <w:pgSz w:w="11900" w:h="16830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Xingka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0"/>
      <w:rPr>
        <w:sz w:val="30"/>
        <w:szCs w:val="30"/>
      </w:rPr>
    </w:pPr>
    <w:r>
      <w:rPr>
        <w:spacing w:val="-12"/>
        <w:sz w:val="30"/>
        <w:szCs w:val="30"/>
      </w:rPr>
      <w:t>—1—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" w:line="176" w:lineRule="auto"/>
      <w:rPr>
        <w:sz w:val="30"/>
        <w:szCs w:val="30"/>
      </w:rPr>
    </w:pPr>
    <w:r>
      <w:rPr>
        <w:spacing w:val="-12"/>
        <w:sz w:val="30"/>
        <w:szCs w:val="30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35"/>
      <w:rPr>
        <w:sz w:val="31"/>
        <w:szCs w:val="31"/>
      </w:rPr>
    </w:pPr>
    <w:r>
      <w:rPr>
        <w:spacing w:val="-21"/>
        <w:w w:val="93"/>
        <w:sz w:val="31"/>
        <w:szCs w:val="31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rPr>
        <w:sz w:val="31"/>
        <w:szCs w:val="31"/>
      </w:rPr>
    </w:pPr>
    <w:r>
      <w:rPr>
        <w:spacing w:val="-16"/>
        <w:w w:val="91"/>
        <w:sz w:val="31"/>
        <w:szCs w:val="31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" w:line="175" w:lineRule="auto"/>
      <w:ind w:left="7749"/>
      <w:rPr>
        <w:sz w:val="32"/>
        <w:szCs w:val="32"/>
      </w:rPr>
    </w:pPr>
    <w:r>
      <w:rPr>
        <w:spacing w:val="-21"/>
        <w:w w:val="90"/>
        <w:sz w:val="32"/>
        <w:szCs w:val="32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JiZmVjZDIyMTk0OTIwODE2NjA5MWQzODQ4Mzk4NDIifQ=="/>
  </w:docVars>
  <w:rsids>
    <w:rsidRoot w:val="00000000"/>
    <w:rsid w:val="5FBB0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1"/>
      <w:szCs w:val="6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header" Target="header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2024-03-29T11:02:00Z</dcterms:created>
  <dc:creator>Administrator</dc:creator>
  <cp:lastModifiedBy>Administrator</cp:lastModifiedBy>
  <dcterms:modified xsi:type="dcterms:W3CDTF">2024-03-29T03:05:21Z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2024-03-29T11:02:37Z</vt:filetime>
  </property>
  <property fmtid="{D5CDD505-2E9C-101B-9397-08002B2CF9AE}" pid="4" name="UsrData">
    <vt:lpwstr>66062f48afc0aa002098ea28wl</vt:lpwstr>
  </property>
  <property fmtid="{D5CDD505-2E9C-101B-9397-08002B2CF9AE}" pid="5" name="KSOProductBuildVer">
    <vt:lpwstr>2052-12.1.0.16417</vt:lpwstr>
  </property>
  <property fmtid="{D5CDD505-2E9C-101B-9397-08002B2CF9AE}" pid="6" name="ICV">
    <vt:lpwstr>5AAE11F9D3A04F7C8CF46E4D4F200A51_12</vt:lpwstr>
  </property>
</Properties>
</file>