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77E9A">
      <w:pPr>
        <w:jc w:val="center"/>
        <w:rPr>
          <w:rFonts w:hint="eastAsia"/>
          <w:lang w:val="en-US" w:eastAsia="zh-CN"/>
        </w:rPr>
      </w:pPr>
      <w:r>
        <w:rPr>
          <w:rFonts w:hint="eastAsia" w:ascii="黑体" w:hAnsi="黑体" w:eastAsia="黑体" w:cs="黑体"/>
          <w:b/>
          <w:bCs/>
          <w:sz w:val="44"/>
          <w:szCs w:val="44"/>
          <w:lang w:val="en-US" w:eastAsia="zh-CN"/>
        </w:rPr>
        <w:t>平陆县第一高级职业中学职业教育质量年度报告</w:t>
      </w:r>
      <w:r>
        <w:rPr>
          <w:rFonts w:hint="eastAsia" w:ascii="黑体" w:hAnsi="黑体" w:eastAsia="黑体" w:cs="黑体"/>
          <w:b w:val="0"/>
          <w:bCs w:val="0"/>
          <w:sz w:val="36"/>
          <w:szCs w:val="36"/>
          <w:lang w:val="en-US" w:eastAsia="zh-CN"/>
        </w:rPr>
        <w:t>（2024年度）</w:t>
      </w:r>
    </w:p>
    <w:p w14:paraId="4C783946">
      <w:pPr>
        <w:bidi w:val="0"/>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lang w:eastAsia="zh-CN"/>
        </w:rPr>
        <w:t>质量年报编制发布制度是推进职业教育质量评价改革的重要抓手，也是提升学校知名度和影响力的重要窗口。平陆县第一高级职业中学高度重视职业教育质量年报工作，将本次年报工作作为借助社会力量监督、指导并参与办学行为，提高中职人才培养质量，促进学校更好服务于区域经济社会发展的一次重要契机。根据《山西省教育厅关于做好职业教育质量年报（</w:t>
      </w:r>
      <w:r>
        <w:rPr>
          <w:rFonts w:hint="eastAsia" w:ascii="仿宋" w:hAnsi="仿宋" w:eastAsia="仿宋" w:cs="仿宋"/>
          <w:sz w:val="32"/>
          <w:szCs w:val="32"/>
          <w:lang w:val="en-US" w:eastAsia="zh-CN"/>
        </w:rPr>
        <w:t>2024年度</w:t>
      </w:r>
      <w:r>
        <w:rPr>
          <w:rFonts w:hint="eastAsia" w:ascii="仿宋" w:hAnsi="仿宋" w:eastAsia="仿宋" w:cs="仿宋"/>
          <w:sz w:val="32"/>
          <w:szCs w:val="32"/>
          <w:lang w:eastAsia="zh-CN"/>
        </w:rPr>
        <w:t>）编制、发布和报送工作的通知》（晋教职成函〔</w:t>
      </w:r>
      <w:r>
        <w:rPr>
          <w:rFonts w:hint="eastAsia" w:ascii="仿宋" w:hAnsi="仿宋" w:eastAsia="仿宋" w:cs="仿宋"/>
          <w:sz w:val="32"/>
          <w:szCs w:val="32"/>
          <w:lang w:val="en-US" w:eastAsia="zh-CN"/>
        </w:rPr>
        <w:t>2024</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81号</w:t>
      </w:r>
      <w:r>
        <w:rPr>
          <w:rFonts w:hint="eastAsia" w:ascii="仿宋" w:hAnsi="仿宋" w:eastAsia="仿宋" w:cs="仿宋"/>
          <w:sz w:val="32"/>
          <w:szCs w:val="32"/>
          <w:lang w:eastAsia="zh-CN"/>
        </w:rPr>
        <w:t>）要求，校委会召开专题会议，制订工作方案，成立以校长为组长的编制领导小组，明确任务，责任到人，倒排工期，确保编制工作有序进行。编制过程中，实行“一周一碰头”“一稿三校对”“交叉检查”等工作模式，使</w:t>
      </w:r>
      <w:r>
        <w:rPr>
          <w:rFonts w:hint="eastAsia" w:ascii="仿宋" w:hAnsi="仿宋" w:eastAsia="仿宋" w:cs="仿宋"/>
          <w:sz w:val="32"/>
          <w:szCs w:val="32"/>
          <w:lang w:val="en-US" w:eastAsia="zh-CN"/>
        </w:rPr>
        <w:t>本次年报</w:t>
      </w:r>
      <w:r>
        <w:rPr>
          <w:rFonts w:hint="eastAsia" w:ascii="仿宋" w:hAnsi="仿宋" w:eastAsia="仿宋" w:cs="仿宋"/>
          <w:sz w:val="32"/>
          <w:szCs w:val="32"/>
          <w:lang w:eastAsia="zh-CN"/>
        </w:rPr>
        <w:t>编制、报送工作如期保质、保量完成。</w:t>
      </w:r>
    </w:p>
    <w:p w14:paraId="78E654B8">
      <w:pPr>
        <w:numPr>
          <w:ilvl w:val="0"/>
          <w:numId w:val="0"/>
        </w:numPr>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1.基本情况</w:t>
      </w:r>
    </w:p>
    <w:p w14:paraId="64301B95">
      <w:pPr>
        <w:pStyle w:val="11"/>
        <w:numPr>
          <w:ilvl w:val="0"/>
          <w:numId w:val="0"/>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1.1学校概况</w:t>
      </w:r>
    </w:p>
    <w:p w14:paraId="4BCB2A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平陆县第一高级职业中学成立于1982年，1992年经省教委验收为省级合格职业中学。目前学校占地</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5亩，总建筑面积11700㎡，总投资1900余万元。建有办公楼、实训楼、教学楼、公寓楼、学生餐厅、多功能礼堂。配置有5个电脑室和300余台电脑，所有教室</w:t>
      </w:r>
      <w:r>
        <w:rPr>
          <w:rFonts w:hint="eastAsia" w:ascii="仿宋" w:hAnsi="仿宋" w:eastAsia="仿宋" w:cs="仿宋"/>
          <w:color w:val="000000" w:themeColor="text1"/>
          <w:sz w:val="32"/>
          <w:szCs w:val="32"/>
          <w:lang w:eastAsia="zh-CN"/>
          <w14:textFill>
            <w14:solidFill>
              <w14:schemeClr w14:val="tx1"/>
            </w14:solidFill>
          </w14:textFill>
        </w:rPr>
        <w:t>均</w:t>
      </w:r>
      <w:r>
        <w:rPr>
          <w:rFonts w:hint="eastAsia" w:ascii="仿宋" w:hAnsi="仿宋" w:eastAsia="仿宋" w:cs="仿宋"/>
          <w:color w:val="000000" w:themeColor="text1"/>
          <w:sz w:val="32"/>
          <w:szCs w:val="32"/>
          <w14:textFill>
            <w14:solidFill>
              <w14:schemeClr w14:val="tx1"/>
            </w14:solidFill>
          </w14:textFill>
        </w:rPr>
        <w:t>安装多媒体系统，拥有校园宽带网和远程教育网；舞蹈排练室、琴室、乐器室、图书室和阅览室</w:t>
      </w:r>
      <w:r>
        <w:rPr>
          <w:rFonts w:hint="eastAsia" w:ascii="仿宋" w:hAnsi="仿宋" w:eastAsia="仿宋" w:cs="仿宋"/>
          <w:color w:val="000000" w:themeColor="text1"/>
          <w:sz w:val="32"/>
          <w:szCs w:val="32"/>
          <w:lang w:eastAsia="zh-CN"/>
          <w14:textFill>
            <w14:solidFill>
              <w14:schemeClr w14:val="tx1"/>
            </w14:solidFill>
          </w14:textFill>
        </w:rPr>
        <w:t>等一应俱全</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有</w:t>
      </w:r>
      <w:r>
        <w:rPr>
          <w:rFonts w:hint="eastAsia" w:ascii="仿宋" w:hAnsi="仿宋" w:eastAsia="仿宋" w:cs="仿宋"/>
          <w:color w:val="000000" w:themeColor="text1"/>
          <w:sz w:val="32"/>
          <w:szCs w:val="32"/>
          <w14:textFill>
            <w14:solidFill>
              <w14:schemeClr w14:val="tx1"/>
            </w14:solidFill>
          </w14:textFill>
        </w:rPr>
        <w:t>电焊操作实训室、汽车运用与维修实训室、计算机网络实训室、机电实训室、旅游服务与酒店管理实训室、电子商务实训室、无人机应用实训室等7个实训室。</w:t>
      </w:r>
      <w:r>
        <w:rPr>
          <w:rFonts w:hint="eastAsia" w:ascii="仿宋" w:hAnsi="仿宋" w:eastAsia="仿宋" w:cs="仿宋"/>
          <w:color w:val="000000" w:themeColor="text1"/>
          <w:sz w:val="32"/>
          <w:szCs w:val="32"/>
          <w:lang w:val="en-US" w:eastAsia="zh-CN"/>
          <w14:textFill>
            <w14:solidFill>
              <w14:schemeClr w14:val="tx1"/>
            </w14:solidFill>
          </w14:textFill>
        </w:rPr>
        <w:t>目前，我校的WPS办公应用技能应用、新能源汽车装调与测试、无人机应用技术、生涯规划指导资格证书四个科目被列为“1+X”证书试点院校点专业。</w:t>
      </w:r>
    </w:p>
    <w:p w14:paraId="15C088A3">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rPr>
          <w:rFonts w:hint="eastAsia"/>
          <w:sz w:val="32"/>
          <w:szCs w:val="32"/>
          <w:lang w:val="en-US" w:eastAsia="zh-CN"/>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学校立足职业教育“培养多样化人才、传承技术技能、促进就业创业”的重要职责，扎实践行职业教育新理念，按照山西省委“四为四高两同步”总体思路和要求、运城市“三个强市”发展战略、平陆县“一三三五”总体发展思路，结合学校实际调整、定位发展新坐标，聚焦人本教育和内涵建设，提升学生素养；加强品牌专业建设，推进产教融合、校企合作，切实提高人才培养质量，为平陆经济转型发展贡献职教力量。</w:t>
      </w:r>
    </w:p>
    <w:p w14:paraId="79631B63">
      <w:pPr>
        <w:pStyle w:val="11"/>
        <w:numPr>
          <w:ilvl w:val="0"/>
          <w:numId w:val="0"/>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1.2专业设置</w:t>
      </w:r>
    </w:p>
    <w:p w14:paraId="63A22EFC">
      <w:pPr>
        <w:pStyle w:val="11"/>
        <w:numPr>
          <w:ilvl w:val="0"/>
          <w:numId w:val="0"/>
        </w:numPr>
        <w:ind w:firstLine="640" w:firstLineChars="200"/>
        <w:rPr>
          <w:rFonts w:hint="eastAsia"/>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学校办学层次主要包括职业中专教育、职业高中教育</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开设有1</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个专业</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其中</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个职业中专专业：计算机应用、旅游服务与管理、机电技术应用</w:t>
      </w:r>
      <w:r>
        <w:rPr>
          <w:rFonts w:hint="eastAsia" w:ascii="仿宋" w:hAnsi="仿宋" w:eastAsia="仿宋" w:cs="仿宋"/>
          <w:color w:val="000000" w:themeColor="text1"/>
          <w:sz w:val="32"/>
          <w:szCs w:val="32"/>
          <w:lang w:eastAsia="zh-CN"/>
          <w14:textFill>
            <w14:solidFill>
              <w14:schemeClr w14:val="tx1"/>
            </w14:solidFill>
          </w14:textFill>
        </w:rPr>
        <w:t>、无人机操控与维护</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个职业高中专业：焊接技术应用、美术设计与制作、汽车运用与维修、舞蹈表演、音乐、电子商务、社会文化艺术</w:t>
      </w:r>
      <w:r>
        <w:rPr>
          <w:rFonts w:hint="eastAsia" w:ascii="仿宋" w:hAnsi="仿宋" w:eastAsia="仿宋" w:cs="仿宋"/>
          <w:color w:val="000000" w:themeColor="text1"/>
          <w:kern w:val="0"/>
          <w:sz w:val="32"/>
          <w:szCs w:val="32"/>
          <w14:textFill>
            <w14:solidFill>
              <w14:schemeClr w14:val="tx1"/>
            </w14:solidFill>
          </w14:textFill>
        </w:rPr>
        <w:t>。</w:t>
      </w:r>
    </w:p>
    <w:p w14:paraId="7DE759E2">
      <w:pPr>
        <w:pStyle w:val="11"/>
        <w:numPr>
          <w:ilvl w:val="0"/>
          <w:numId w:val="0"/>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1.3学生情况</w:t>
      </w:r>
    </w:p>
    <w:p w14:paraId="0AD0C07C">
      <w:pPr>
        <w:pStyle w:val="11"/>
        <w:numPr>
          <w:ilvl w:val="0"/>
          <w:numId w:val="0"/>
        </w:numPr>
        <w:ind w:firstLine="640" w:firstLineChars="200"/>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1.3.1招生规模</w:t>
      </w:r>
    </w:p>
    <w:p w14:paraId="3AB2EA78">
      <w:pPr>
        <w:pStyle w:val="11"/>
        <w:numPr>
          <w:ilvl w:val="0"/>
          <w:numId w:val="0"/>
        </w:numPr>
        <w:ind w:firstLine="640" w:firstLineChars="200"/>
        <w:rPr>
          <w:rFonts w:hint="eastAsia" w:ascii="宋体" w:hAnsi="宋体" w:eastAsia="宋体" w:cs="宋体"/>
          <w:b/>
          <w:bCs/>
          <w:color w:val="000000"/>
          <w:kern w:val="0"/>
          <w:sz w:val="20"/>
          <w:szCs w:val="20"/>
          <w:lang w:val="en-US" w:eastAsia="zh-CN" w:bidi="ar"/>
        </w:rPr>
      </w:pP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年，学校共招生</w:t>
      </w:r>
      <w:r>
        <w:rPr>
          <w:rFonts w:hint="eastAsia" w:ascii="仿宋" w:hAnsi="仿宋" w:eastAsia="仿宋" w:cs="仿宋"/>
          <w:color w:val="000000" w:themeColor="text1"/>
          <w:sz w:val="32"/>
          <w:szCs w:val="32"/>
          <w:lang w:val="en-US" w:eastAsia="zh-CN"/>
          <w14:textFill>
            <w14:solidFill>
              <w14:schemeClr w14:val="tx1"/>
            </w14:solidFill>
          </w14:textFill>
        </w:rPr>
        <w:t>188</w:t>
      </w:r>
      <w:r>
        <w:rPr>
          <w:rFonts w:hint="eastAsia" w:ascii="仿宋" w:hAnsi="仿宋" w:eastAsia="仿宋" w:cs="仿宋"/>
          <w:color w:val="000000" w:themeColor="text1"/>
          <w:sz w:val="32"/>
          <w:szCs w:val="32"/>
          <w14:textFill>
            <w14:solidFill>
              <w14:schemeClr w14:val="tx1"/>
            </w14:solidFill>
          </w14:textFill>
        </w:rPr>
        <w:t>人，其中全日制</w:t>
      </w:r>
      <w:r>
        <w:rPr>
          <w:rFonts w:hint="eastAsia" w:ascii="仿宋" w:hAnsi="仿宋" w:eastAsia="仿宋" w:cs="仿宋"/>
          <w:color w:val="000000" w:themeColor="text1"/>
          <w:sz w:val="32"/>
          <w:szCs w:val="32"/>
          <w:lang w:val="en-US" w:eastAsia="zh-CN"/>
          <w14:textFill>
            <w14:solidFill>
              <w14:schemeClr w14:val="tx1"/>
            </w14:solidFill>
          </w14:textFill>
        </w:rPr>
        <w:t>188</w:t>
      </w:r>
      <w:r>
        <w:rPr>
          <w:rFonts w:hint="eastAsia" w:ascii="仿宋" w:hAnsi="仿宋" w:eastAsia="仿宋" w:cs="仿宋"/>
          <w:color w:val="000000" w:themeColor="text1"/>
          <w:sz w:val="32"/>
          <w:szCs w:val="32"/>
          <w14:textFill>
            <w14:solidFill>
              <w14:schemeClr w14:val="tx1"/>
            </w14:solidFill>
          </w14:textFill>
        </w:rPr>
        <w:t>人，非全日制</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人</w:t>
      </w:r>
      <w:r>
        <w:rPr>
          <w:rFonts w:hint="eastAsia" w:ascii="仿宋" w:hAnsi="仿宋" w:eastAsia="仿宋" w:cs="仿宋"/>
          <w:color w:val="000000" w:themeColor="text1"/>
          <w:sz w:val="32"/>
          <w:szCs w:val="32"/>
          <w:lang w:val="en-US" w:eastAsia="zh-CN"/>
          <w14:textFill>
            <w14:solidFill>
              <w14:schemeClr w14:val="tx1"/>
            </w14:solidFill>
          </w14:textFill>
        </w:rPr>
        <w:t>。</w:t>
      </w:r>
    </w:p>
    <w:p w14:paraId="73BC5E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000000" w:themeColor="text1"/>
          <w:sz w:val="30"/>
          <w:szCs w:val="30"/>
          <w:lang w:val="en-US" w:eastAsia="zh-CN"/>
          <w14:textFill>
            <w14:solidFill>
              <w14:schemeClr w14:val="tx1"/>
            </w14:solidFill>
          </w14:textFill>
        </w:rPr>
      </w:pPr>
      <w:r>
        <w:rPr>
          <w:rFonts w:hint="eastAsia" w:ascii="黑体" w:hAnsi="黑体" w:eastAsia="黑体" w:cs="黑体"/>
          <w:b w:val="0"/>
          <w:bCs w:val="0"/>
          <w:color w:val="000000"/>
          <w:kern w:val="0"/>
          <w:sz w:val="30"/>
          <w:szCs w:val="30"/>
          <w:lang w:val="en-US" w:eastAsia="zh-CN" w:bidi="ar"/>
        </w:rPr>
        <w:t>2023-2024学年在校学生基本情况</w:t>
      </w:r>
    </w:p>
    <w:tbl>
      <w:tblPr>
        <w:tblStyle w:val="6"/>
        <w:tblpPr w:leftFromText="180" w:rightFromText="180" w:vertAnchor="text" w:horzAnchor="page" w:tblpX="1799" w:tblpY="111"/>
        <w:tblW w:w="8251" w:type="dxa"/>
        <w:tblInd w:w="0" w:type="dxa"/>
        <w:tblLayout w:type="fixed"/>
        <w:tblCellMar>
          <w:top w:w="0" w:type="dxa"/>
          <w:left w:w="0" w:type="dxa"/>
          <w:bottom w:w="0" w:type="dxa"/>
          <w:right w:w="0" w:type="dxa"/>
        </w:tblCellMar>
      </w:tblPr>
      <w:tblGrid>
        <w:gridCol w:w="2293"/>
        <w:gridCol w:w="1784"/>
        <w:gridCol w:w="2235"/>
        <w:gridCol w:w="1939"/>
      </w:tblGrid>
      <w:tr w14:paraId="6E5B9CF2">
        <w:tblPrEx>
          <w:tblCellMar>
            <w:top w:w="0" w:type="dxa"/>
            <w:left w:w="0" w:type="dxa"/>
            <w:bottom w:w="0" w:type="dxa"/>
            <w:right w:w="0" w:type="dxa"/>
          </w:tblCellMar>
        </w:tblPrEx>
        <w:trPr>
          <w:cantSplit/>
          <w:trHeight w:val="626" w:hRule="atLeast"/>
        </w:trPr>
        <w:tc>
          <w:tcPr>
            <w:tcW w:w="2293"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68E68FF5">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4"/>
                <w:szCs w:val="24"/>
                <w14:textFill>
                  <w14:solidFill>
                    <w14:schemeClr w14:val="tx1"/>
                  </w14:solidFill>
                </w14:textFill>
              </w:rPr>
              <w:t>专业名称</w:t>
            </w:r>
          </w:p>
        </w:tc>
        <w:tc>
          <w:tcPr>
            <w:tcW w:w="1784" w:type="dxa"/>
            <w:tcBorders>
              <w:top w:val="single" w:color="000000" w:sz="4" w:space="0"/>
              <w:left w:val="single" w:color="000000" w:sz="4" w:space="0"/>
              <w:right w:val="single" w:color="000000" w:sz="4" w:space="0"/>
            </w:tcBorders>
            <w:tcMar>
              <w:left w:w="15" w:type="dxa"/>
              <w:right w:w="15" w:type="dxa"/>
            </w:tcMar>
            <w:vAlign w:val="center"/>
          </w:tcPr>
          <w:p w14:paraId="37182A08">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4"/>
                <w:szCs w:val="24"/>
                <w14:textFill>
                  <w14:solidFill>
                    <w14:schemeClr w14:val="tx1"/>
                  </w14:solidFill>
                </w14:textFill>
              </w:rPr>
              <w:t>20</w:t>
            </w:r>
            <w:r>
              <w:rPr>
                <w:rFonts w:hint="eastAsia" w:ascii="仿宋_GB2312" w:hAnsi="仿宋_GB2312" w:eastAsia="仿宋_GB2312" w:cs="仿宋_GB2312"/>
                <w:color w:val="000000" w:themeColor="text1"/>
                <w:kern w:val="0"/>
                <w:sz w:val="24"/>
                <w:szCs w:val="24"/>
                <w14:textFill>
                  <w14:solidFill>
                    <w14:schemeClr w14:val="tx1"/>
                  </w14:solidFill>
                </w14:textFill>
              </w:rPr>
              <w:t>21</w:t>
            </w:r>
            <w:r>
              <w:rPr>
                <w:rFonts w:ascii="仿宋_GB2312" w:hAnsi="仿宋_GB2312" w:eastAsia="仿宋_GB2312" w:cs="仿宋_GB2312"/>
                <w:color w:val="000000" w:themeColor="text1"/>
                <w:kern w:val="0"/>
                <w:sz w:val="24"/>
                <w:szCs w:val="24"/>
                <w14:textFill>
                  <w14:solidFill>
                    <w14:schemeClr w14:val="tx1"/>
                  </w14:solidFill>
                </w14:textFill>
              </w:rPr>
              <w:t>年</w:t>
            </w:r>
          </w:p>
        </w:tc>
        <w:tc>
          <w:tcPr>
            <w:tcW w:w="2235" w:type="dxa"/>
            <w:tcBorders>
              <w:top w:val="single" w:color="000000" w:sz="4" w:space="0"/>
              <w:left w:val="single" w:color="000000" w:sz="4" w:space="0"/>
              <w:right w:val="single" w:color="000000" w:sz="4" w:space="0"/>
            </w:tcBorders>
            <w:tcMar>
              <w:left w:w="15" w:type="dxa"/>
              <w:right w:w="15" w:type="dxa"/>
            </w:tcMar>
            <w:vAlign w:val="center"/>
          </w:tcPr>
          <w:p w14:paraId="5C182AF7">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4"/>
                <w:szCs w:val="24"/>
                <w14:textFill>
                  <w14:solidFill>
                    <w14:schemeClr w14:val="tx1"/>
                  </w14:solidFill>
                </w14:textFill>
              </w:rPr>
              <w:t>20</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22</w:t>
            </w:r>
            <w:r>
              <w:rPr>
                <w:rFonts w:ascii="仿宋_GB2312" w:hAnsi="仿宋_GB2312" w:eastAsia="仿宋_GB2312" w:cs="仿宋_GB2312"/>
                <w:color w:val="000000" w:themeColor="text1"/>
                <w:kern w:val="0"/>
                <w:sz w:val="24"/>
                <w:szCs w:val="24"/>
                <w14:textFill>
                  <w14:solidFill>
                    <w14:schemeClr w14:val="tx1"/>
                  </w14:solidFill>
                </w14:textFill>
              </w:rPr>
              <w:t>年</w:t>
            </w:r>
          </w:p>
        </w:tc>
        <w:tc>
          <w:tcPr>
            <w:tcW w:w="1939" w:type="dxa"/>
            <w:tcBorders>
              <w:top w:val="single" w:color="000000" w:sz="4" w:space="0"/>
              <w:left w:val="single" w:color="000000" w:sz="4" w:space="0"/>
              <w:right w:val="single" w:color="000000" w:sz="4" w:space="0"/>
            </w:tcBorders>
            <w:tcMar>
              <w:left w:w="15" w:type="dxa"/>
              <w:right w:w="15" w:type="dxa"/>
            </w:tcMar>
            <w:vAlign w:val="center"/>
          </w:tcPr>
          <w:p w14:paraId="28640AEA">
            <w:pPr>
              <w:widowControl/>
              <w:jc w:val="center"/>
              <w:rPr>
                <w:rFonts w:hint="default" w:ascii="仿宋_GB2312" w:hAnsi="仿宋_GB2312" w:eastAsia="仿宋_GB2312" w:cs="仿宋_GB2312"/>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t>2023</w:t>
            </w:r>
          </w:p>
        </w:tc>
      </w:tr>
      <w:tr w14:paraId="5DAE949B">
        <w:tblPrEx>
          <w:tblCellMar>
            <w:top w:w="0" w:type="dxa"/>
            <w:left w:w="0" w:type="dxa"/>
            <w:bottom w:w="0" w:type="dxa"/>
            <w:right w:w="0" w:type="dxa"/>
          </w:tblCellMar>
        </w:tblPrEx>
        <w:trPr>
          <w:cantSplit/>
          <w:trHeight w:val="566" w:hRule="atLeast"/>
        </w:trPr>
        <w:tc>
          <w:tcPr>
            <w:tcW w:w="2293"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7BA282B3">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4"/>
                <w:szCs w:val="24"/>
                <w14:textFill>
                  <w14:solidFill>
                    <w14:schemeClr w14:val="tx1"/>
                  </w14:solidFill>
                </w14:textFill>
              </w:rPr>
              <w:t>电子商务</w:t>
            </w:r>
          </w:p>
        </w:tc>
        <w:tc>
          <w:tcPr>
            <w:tcW w:w="1784" w:type="dxa"/>
            <w:tcBorders>
              <w:top w:val="single" w:color="000000" w:sz="4" w:space="0"/>
              <w:left w:val="single" w:color="000000" w:sz="4" w:space="0"/>
              <w:right w:val="single" w:color="000000" w:sz="4" w:space="0"/>
            </w:tcBorders>
            <w:tcMar>
              <w:left w:w="15" w:type="dxa"/>
              <w:right w:w="15" w:type="dxa"/>
            </w:tcMar>
            <w:vAlign w:val="center"/>
          </w:tcPr>
          <w:p w14:paraId="7B8CC7E2">
            <w:pPr>
              <w:widowControl/>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0</w:t>
            </w:r>
          </w:p>
        </w:tc>
        <w:tc>
          <w:tcPr>
            <w:tcW w:w="2235" w:type="dxa"/>
            <w:tcBorders>
              <w:top w:val="single" w:color="000000" w:sz="4" w:space="0"/>
              <w:left w:val="single" w:color="000000" w:sz="4" w:space="0"/>
              <w:right w:val="single" w:color="000000" w:sz="4" w:space="0"/>
            </w:tcBorders>
            <w:tcMar>
              <w:left w:w="15" w:type="dxa"/>
              <w:right w:w="15" w:type="dxa"/>
            </w:tcMar>
            <w:vAlign w:val="center"/>
          </w:tcPr>
          <w:p w14:paraId="56CAEA89">
            <w:pPr>
              <w:widowControl/>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w:t>
            </w:r>
          </w:p>
        </w:tc>
        <w:tc>
          <w:tcPr>
            <w:tcW w:w="1939" w:type="dxa"/>
            <w:tcBorders>
              <w:top w:val="single" w:color="000000" w:sz="4" w:space="0"/>
              <w:left w:val="single" w:color="000000" w:sz="4" w:space="0"/>
              <w:right w:val="single" w:color="000000" w:sz="4" w:space="0"/>
            </w:tcBorders>
            <w:tcMar>
              <w:left w:w="15" w:type="dxa"/>
              <w:right w:w="15" w:type="dxa"/>
            </w:tcMar>
            <w:vAlign w:val="center"/>
          </w:tcPr>
          <w:p w14:paraId="1B03798D">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0</w:t>
            </w:r>
          </w:p>
        </w:tc>
      </w:tr>
      <w:tr w14:paraId="29F3847D">
        <w:tblPrEx>
          <w:tblCellMar>
            <w:top w:w="0" w:type="dxa"/>
            <w:left w:w="0" w:type="dxa"/>
            <w:bottom w:w="0" w:type="dxa"/>
            <w:right w:w="0" w:type="dxa"/>
          </w:tblCellMar>
        </w:tblPrEx>
        <w:trPr>
          <w:cantSplit/>
          <w:trHeight w:val="449" w:hRule="atLeast"/>
        </w:trPr>
        <w:tc>
          <w:tcPr>
            <w:tcW w:w="2293"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143E8A89">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焊</w:t>
            </w:r>
            <w:r>
              <w:rPr>
                <w:rFonts w:ascii="仿宋_GB2312" w:hAnsi="仿宋_GB2312" w:eastAsia="仿宋_GB2312" w:cs="仿宋_GB2312"/>
                <w:color w:val="000000" w:themeColor="text1"/>
                <w:kern w:val="0"/>
                <w:sz w:val="24"/>
                <w:szCs w:val="24"/>
                <w14:textFill>
                  <w14:solidFill>
                    <w14:schemeClr w14:val="tx1"/>
                  </w14:solidFill>
                </w14:textFill>
              </w:rPr>
              <w:t>接技术应用</w:t>
            </w:r>
          </w:p>
        </w:tc>
        <w:tc>
          <w:tcPr>
            <w:tcW w:w="1784" w:type="dxa"/>
            <w:tcBorders>
              <w:top w:val="single" w:color="000000" w:sz="4" w:space="0"/>
              <w:left w:val="single" w:color="000000" w:sz="4" w:space="0"/>
              <w:right w:val="single" w:color="000000" w:sz="4" w:space="0"/>
            </w:tcBorders>
            <w:tcMar>
              <w:left w:w="15" w:type="dxa"/>
              <w:right w:w="15" w:type="dxa"/>
            </w:tcMar>
            <w:vAlign w:val="center"/>
          </w:tcPr>
          <w:p w14:paraId="1A8C8BCF">
            <w:pPr>
              <w:widowControl/>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15</w:t>
            </w:r>
          </w:p>
        </w:tc>
        <w:tc>
          <w:tcPr>
            <w:tcW w:w="2235" w:type="dxa"/>
            <w:tcBorders>
              <w:top w:val="single" w:color="000000" w:sz="4" w:space="0"/>
              <w:left w:val="single" w:color="000000" w:sz="4" w:space="0"/>
              <w:right w:val="single" w:color="000000" w:sz="4" w:space="0"/>
            </w:tcBorders>
            <w:tcMar>
              <w:left w:w="15" w:type="dxa"/>
              <w:right w:w="15" w:type="dxa"/>
            </w:tcMar>
            <w:vAlign w:val="center"/>
          </w:tcPr>
          <w:p w14:paraId="31C8A766">
            <w:pPr>
              <w:widowControl/>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12</w:t>
            </w:r>
          </w:p>
        </w:tc>
        <w:tc>
          <w:tcPr>
            <w:tcW w:w="1939" w:type="dxa"/>
            <w:tcBorders>
              <w:top w:val="single" w:color="000000" w:sz="4" w:space="0"/>
              <w:left w:val="single" w:color="000000" w:sz="4" w:space="0"/>
              <w:right w:val="single" w:color="000000" w:sz="4" w:space="0"/>
            </w:tcBorders>
            <w:tcMar>
              <w:left w:w="15" w:type="dxa"/>
              <w:right w:w="15" w:type="dxa"/>
            </w:tcMar>
            <w:vAlign w:val="center"/>
          </w:tcPr>
          <w:p w14:paraId="05D5AC2C">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6</w:t>
            </w:r>
          </w:p>
        </w:tc>
      </w:tr>
      <w:tr w14:paraId="1A6F1F51">
        <w:tblPrEx>
          <w:tblCellMar>
            <w:top w:w="0" w:type="dxa"/>
            <w:left w:w="0" w:type="dxa"/>
            <w:bottom w:w="0" w:type="dxa"/>
            <w:right w:w="0" w:type="dxa"/>
          </w:tblCellMar>
        </w:tblPrEx>
        <w:trPr>
          <w:cantSplit/>
          <w:trHeight w:val="556" w:hRule="atLeast"/>
        </w:trPr>
        <w:tc>
          <w:tcPr>
            <w:tcW w:w="2293" w:type="dxa"/>
            <w:tcBorders>
              <w:top w:val="single" w:color="000000" w:sz="4" w:space="0"/>
              <w:left w:val="single" w:color="000000" w:sz="4" w:space="0"/>
              <w:bottom w:val="single" w:color="000000" w:sz="4" w:space="0"/>
              <w:right w:val="single" w:color="000000" w:sz="4" w:space="0"/>
            </w:tcBorders>
            <w:vAlign w:val="center"/>
          </w:tcPr>
          <w:p w14:paraId="212C5514">
            <w:pPr>
              <w:widowControl/>
              <w:jc w:val="center"/>
              <w:rPr>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4"/>
                <w:szCs w:val="24"/>
                <w14:textFill>
                  <w14:solidFill>
                    <w14:schemeClr w14:val="tx1"/>
                  </w14:solidFill>
                </w14:textFill>
              </w:rPr>
              <w:t>机电技术应用</w:t>
            </w:r>
          </w:p>
        </w:tc>
        <w:tc>
          <w:tcPr>
            <w:tcW w:w="1784"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57E8B53A">
            <w:pPr>
              <w:widowControl/>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26</w:t>
            </w:r>
          </w:p>
        </w:tc>
        <w:tc>
          <w:tcPr>
            <w:tcW w:w="2235"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64A696B1">
            <w:pPr>
              <w:widowControl/>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35</w:t>
            </w:r>
          </w:p>
        </w:tc>
        <w:tc>
          <w:tcPr>
            <w:tcW w:w="1939"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3501D3D9">
            <w:pPr>
              <w:widowControl/>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38</w:t>
            </w:r>
          </w:p>
        </w:tc>
      </w:tr>
      <w:tr w14:paraId="3719CE4E">
        <w:tblPrEx>
          <w:tblCellMar>
            <w:top w:w="0" w:type="dxa"/>
            <w:left w:w="0" w:type="dxa"/>
            <w:bottom w:w="0" w:type="dxa"/>
            <w:right w:w="0" w:type="dxa"/>
          </w:tblCellMar>
        </w:tblPrEx>
        <w:trPr>
          <w:trHeight w:val="506" w:hRule="atLeast"/>
        </w:trPr>
        <w:tc>
          <w:tcPr>
            <w:tcW w:w="2293"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16A5EFD6">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艺术</w:t>
            </w:r>
            <w:r>
              <w:rPr>
                <w:rFonts w:ascii="仿宋_GB2312" w:hAnsi="仿宋_GB2312" w:eastAsia="仿宋_GB2312" w:cs="仿宋_GB2312"/>
                <w:color w:val="000000" w:themeColor="text1"/>
                <w:kern w:val="0"/>
                <w:sz w:val="24"/>
                <w:szCs w:val="24"/>
                <w14:textFill>
                  <w14:solidFill>
                    <w14:schemeClr w14:val="tx1"/>
                  </w14:solidFill>
                </w14:textFill>
              </w:rPr>
              <w:t>设计与制作</w:t>
            </w:r>
          </w:p>
        </w:tc>
        <w:tc>
          <w:tcPr>
            <w:tcW w:w="1784"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0E02A20A">
            <w:pPr>
              <w:widowControl/>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26</w:t>
            </w:r>
          </w:p>
        </w:tc>
        <w:tc>
          <w:tcPr>
            <w:tcW w:w="2235"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427F3BC5">
            <w:pPr>
              <w:widowControl/>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57</w:t>
            </w:r>
          </w:p>
        </w:tc>
        <w:tc>
          <w:tcPr>
            <w:tcW w:w="1939"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32C5F2BB">
            <w:pPr>
              <w:widowControl/>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45</w:t>
            </w:r>
          </w:p>
        </w:tc>
      </w:tr>
      <w:tr w14:paraId="28A56431">
        <w:tblPrEx>
          <w:tblCellMar>
            <w:top w:w="0" w:type="dxa"/>
            <w:left w:w="0" w:type="dxa"/>
            <w:bottom w:w="0" w:type="dxa"/>
            <w:right w:w="0" w:type="dxa"/>
          </w:tblCellMar>
        </w:tblPrEx>
        <w:trPr>
          <w:trHeight w:val="523" w:hRule="atLeast"/>
        </w:trPr>
        <w:tc>
          <w:tcPr>
            <w:tcW w:w="2293"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6FCC2369">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4"/>
                <w:szCs w:val="24"/>
                <w14:textFill>
                  <w14:solidFill>
                    <w14:schemeClr w14:val="tx1"/>
                  </w14:solidFill>
                </w14:textFill>
              </w:rPr>
              <w:t>计算机应用</w:t>
            </w:r>
          </w:p>
        </w:tc>
        <w:tc>
          <w:tcPr>
            <w:tcW w:w="1784"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0A835137">
            <w:pPr>
              <w:widowControl/>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129</w:t>
            </w:r>
          </w:p>
        </w:tc>
        <w:tc>
          <w:tcPr>
            <w:tcW w:w="2235"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7353E4B2">
            <w:pPr>
              <w:widowControl/>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70</w:t>
            </w:r>
          </w:p>
        </w:tc>
        <w:tc>
          <w:tcPr>
            <w:tcW w:w="1939"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16B7F8D2">
            <w:pPr>
              <w:widowControl/>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42</w:t>
            </w:r>
          </w:p>
        </w:tc>
      </w:tr>
      <w:tr w14:paraId="2228518C">
        <w:tblPrEx>
          <w:tblCellMar>
            <w:top w:w="0" w:type="dxa"/>
            <w:left w:w="0" w:type="dxa"/>
            <w:bottom w:w="0" w:type="dxa"/>
            <w:right w:w="0" w:type="dxa"/>
          </w:tblCellMar>
        </w:tblPrEx>
        <w:trPr>
          <w:cantSplit/>
          <w:trHeight w:val="522" w:hRule="atLeast"/>
        </w:trPr>
        <w:tc>
          <w:tcPr>
            <w:tcW w:w="2293"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68726F8E">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4"/>
                <w:szCs w:val="24"/>
                <w14:textFill>
                  <w14:solidFill>
                    <w14:schemeClr w14:val="tx1"/>
                  </w14:solidFill>
                </w14:textFill>
              </w:rPr>
              <w:t>汽车运用与维修</w:t>
            </w:r>
          </w:p>
        </w:tc>
        <w:tc>
          <w:tcPr>
            <w:tcW w:w="1784"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1AF93747">
            <w:pPr>
              <w:widowControl/>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13</w:t>
            </w:r>
          </w:p>
        </w:tc>
        <w:tc>
          <w:tcPr>
            <w:tcW w:w="2235"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72F9E7E2">
            <w:pPr>
              <w:widowControl/>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w:t>
            </w:r>
          </w:p>
        </w:tc>
        <w:tc>
          <w:tcPr>
            <w:tcW w:w="1939"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3FA644ED">
            <w:pPr>
              <w:widowControl/>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12</w:t>
            </w:r>
          </w:p>
        </w:tc>
      </w:tr>
      <w:tr w14:paraId="4C2E3233">
        <w:tblPrEx>
          <w:tblCellMar>
            <w:top w:w="0" w:type="dxa"/>
            <w:left w:w="0" w:type="dxa"/>
            <w:bottom w:w="0" w:type="dxa"/>
            <w:right w:w="0" w:type="dxa"/>
          </w:tblCellMar>
        </w:tblPrEx>
        <w:trPr>
          <w:cantSplit/>
          <w:trHeight w:val="522" w:hRule="atLeast"/>
        </w:trPr>
        <w:tc>
          <w:tcPr>
            <w:tcW w:w="2293" w:type="dxa"/>
            <w:tcBorders>
              <w:top w:val="single" w:color="000000" w:sz="4" w:space="0"/>
              <w:left w:val="single" w:color="000000" w:sz="4" w:space="0"/>
              <w:bottom w:val="single" w:color="000000" w:sz="4" w:space="0"/>
              <w:right w:val="single" w:color="000000" w:sz="4" w:space="0"/>
            </w:tcBorders>
            <w:vAlign w:val="center"/>
          </w:tcPr>
          <w:p w14:paraId="3D04A633">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4"/>
                <w:szCs w:val="24"/>
                <w14:textFill>
                  <w14:solidFill>
                    <w14:schemeClr w14:val="tx1"/>
                  </w14:solidFill>
                </w14:textFill>
              </w:rPr>
              <w:t>社会文化艺术</w:t>
            </w:r>
          </w:p>
        </w:tc>
        <w:tc>
          <w:tcPr>
            <w:tcW w:w="1784"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04228E2D">
            <w:pPr>
              <w:widowControl/>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21</w:t>
            </w:r>
          </w:p>
        </w:tc>
        <w:tc>
          <w:tcPr>
            <w:tcW w:w="2235"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249F58AD">
            <w:pPr>
              <w:widowControl/>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22</w:t>
            </w:r>
          </w:p>
        </w:tc>
        <w:tc>
          <w:tcPr>
            <w:tcW w:w="1939"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648C29E3">
            <w:pPr>
              <w:widowControl/>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22</w:t>
            </w:r>
          </w:p>
        </w:tc>
      </w:tr>
      <w:tr w14:paraId="1D6690D2">
        <w:tblPrEx>
          <w:tblCellMar>
            <w:top w:w="0" w:type="dxa"/>
            <w:left w:w="0" w:type="dxa"/>
            <w:bottom w:w="0" w:type="dxa"/>
            <w:right w:w="0" w:type="dxa"/>
          </w:tblCellMar>
        </w:tblPrEx>
        <w:trPr>
          <w:cantSplit/>
          <w:trHeight w:val="497" w:hRule="atLeast"/>
        </w:trPr>
        <w:tc>
          <w:tcPr>
            <w:tcW w:w="2293" w:type="dxa"/>
            <w:tcBorders>
              <w:top w:val="single" w:color="000000" w:sz="4" w:space="0"/>
              <w:left w:val="single" w:color="000000" w:sz="4" w:space="0"/>
              <w:bottom w:val="single" w:color="000000" w:sz="4" w:space="0"/>
              <w:right w:val="single" w:color="000000" w:sz="4" w:space="0"/>
            </w:tcBorders>
            <w:vAlign w:val="center"/>
          </w:tcPr>
          <w:p w14:paraId="258C8C6C">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4"/>
                <w:szCs w:val="24"/>
                <w14:textFill>
                  <w14:solidFill>
                    <w14:schemeClr w14:val="tx1"/>
                  </w14:solidFill>
                </w14:textFill>
              </w:rPr>
              <w:t>舞蹈表演</w:t>
            </w:r>
          </w:p>
        </w:tc>
        <w:tc>
          <w:tcPr>
            <w:tcW w:w="1784"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550964D7">
            <w:pPr>
              <w:widowControl/>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w:t>
            </w:r>
          </w:p>
        </w:tc>
        <w:tc>
          <w:tcPr>
            <w:tcW w:w="2235"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58ED6E42">
            <w:pPr>
              <w:widowControl/>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w:t>
            </w:r>
          </w:p>
        </w:tc>
        <w:tc>
          <w:tcPr>
            <w:tcW w:w="1939"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195691DF">
            <w:pPr>
              <w:widowControl/>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0</w:t>
            </w:r>
          </w:p>
        </w:tc>
      </w:tr>
      <w:tr w14:paraId="5FD27897">
        <w:tblPrEx>
          <w:tblCellMar>
            <w:top w:w="0" w:type="dxa"/>
            <w:left w:w="0" w:type="dxa"/>
            <w:bottom w:w="0" w:type="dxa"/>
            <w:right w:w="0" w:type="dxa"/>
          </w:tblCellMar>
        </w:tblPrEx>
        <w:trPr>
          <w:cantSplit/>
          <w:trHeight w:val="572" w:hRule="atLeast"/>
        </w:trPr>
        <w:tc>
          <w:tcPr>
            <w:tcW w:w="2293"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1FBE13FC">
            <w:pPr>
              <w:widowControl/>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音乐</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表演</w:t>
            </w:r>
          </w:p>
        </w:tc>
        <w:tc>
          <w:tcPr>
            <w:tcW w:w="1784"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1C8CA64A">
            <w:pPr>
              <w:widowControl/>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w:t>
            </w:r>
          </w:p>
        </w:tc>
        <w:tc>
          <w:tcPr>
            <w:tcW w:w="2235"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0B54AE9D">
            <w:pPr>
              <w:widowControl/>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w:t>
            </w:r>
          </w:p>
        </w:tc>
        <w:tc>
          <w:tcPr>
            <w:tcW w:w="1939"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0BE97747">
            <w:pPr>
              <w:widowControl/>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10</w:t>
            </w:r>
          </w:p>
        </w:tc>
      </w:tr>
      <w:tr w14:paraId="60DCD2CB">
        <w:tblPrEx>
          <w:tblCellMar>
            <w:top w:w="0" w:type="dxa"/>
            <w:left w:w="0" w:type="dxa"/>
            <w:bottom w:w="0" w:type="dxa"/>
            <w:right w:w="0" w:type="dxa"/>
          </w:tblCellMar>
        </w:tblPrEx>
        <w:trPr>
          <w:cantSplit/>
          <w:trHeight w:val="523" w:hRule="atLeast"/>
        </w:trPr>
        <w:tc>
          <w:tcPr>
            <w:tcW w:w="2293" w:type="dxa"/>
            <w:tcBorders>
              <w:top w:val="single" w:color="000000" w:sz="4" w:space="0"/>
              <w:left w:val="single" w:color="000000" w:sz="4" w:space="0"/>
              <w:bottom w:val="single" w:color="000000" w:sz="4" w:space="0"/>
              <w:right w:val="single" w:color="000000" w:sz="4" w:space="0"/>
            </w:tcBorders>
            <w:vAlign w:val="center"/>
          </w:tcPr>
          <w:p w14:paraId="6BE274EE">
            <w:pPr>
              <w:widowControl/>
              <w:jc w:val="center"/>
              <w:rPr>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4"/>
                <w:szCs w:val="24"/>
                <w14:textFill>
                  <w14:solidFill>
                    <w14:schemeClr w14:val="tx1"/>
                  </w14:solidFill>
                </w14:textFill>
              </w:rPr>
              <w:t>旅游服务与管理</w:t>
            </w:r>
          </w:p>
        </w:tc>
        <w:tc>
          <w:tcPr>
            <w:tcW w:w="1784"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73545CEC">
            <w:pPr>
              <w:widowControl/>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15</w:t>
            </w:r>
          </w:p>
        </w:tc>
        <w:tc>
          <w:tcPr>
            <w:tcW w:w="2235"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160B8792">
            <w:pPr>
              <w:widowControl/>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w:t>
            </w:r>
          </w:p>
        </w:tc>
        <w:tc>
          <w:tcPr>
            <w:tcW w:w="1939"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35298364">
            <w:pPr>
              <w:widowControl/>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0</w:t>
            </w:r>
          </w:p>
        </w:tc>
      </w:tr>
      <w:tr w14:paraId="24FB91D9">
        <w:tblPrEx>
          <w:tblCellMar>
            <w:top w:w="0" w:type="dxa"/>
            <w:left w:w="0" w:type="dxa"/>
            <w:bottom w:w="0" w:type="dxa"/>
            <w:right w:w="0" w:type="dxa"/>
          </w:tblCellMar>
        </w:tblPrEx>
        <w:trPr>
          <w:cantSplit/>
          <w:trHeight w:val="523" w:hRule="atLeast"/>
        </w:trPr>
        <w:tc>
          <w:tcPr>
            <w:tcW w:w="2293" w:type="dxa"/>
            <w:tcBorders>
              <w:top w:val="single" w:color="000000" w:sz="4" w:space="0"/>
              <w:left w:val="single" w:color="000000" w:sz="4" w:space="0"/>
              <w:bottom w:val="single" w:color="000000" w:sz="4" w:space="0"/>
              <w:right w:val="single" w:color="000000" w:sz="4" w:space="0"/>
            </w:tcBorders>
            <w:vAlign w:val="center"/>
          </w:tcPr>
          <w:p w14:paraId="547D56A6">
            <w:pPr>
              <w:widowControl/>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无人机操控与维护</w:t>
            </w:r>
          </w:p>
        </w:tc>
        <w:tc>
          <w:tcPr>
            <w:tcW w:w="1784"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125CAAAE">
            <w:pPr>
              <w:widowControl/>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0</w:t>
            </w:r>
          </w:p>
        </w:tc>
        <w:tc>
          <w:tcPr>
            <w:tcW w:w="2235"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56EB881C">
            <w:pPr>
              <w:widowControl/>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0</w:t>
            </w:r>
          </w:p>
        </w:tc>
        <w:tc>
          <w:tcPr>
            <w:tcW w:w="1939"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57EDBA95">
            <w:pPr>
              <w:widowControl/>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13</w:t>
            </w:r>
          </w:p>
        </w:tc>
      </w:tr>
      <w:tr w14:paraId="169A937A">
        <w:tblPrEx>
          <w:tblCellMar>
            <w:top w:w="0" w:type="dxa"/>
            <w:left w:w="0" w:type="dxa"/>
            <w:bottom w:w="0" w:type="dxa"/>
            <w:right w:w="0" w:type="dxa"/>
          </w:tblCellMar>
        </w:tblPrEx>
        <w:trPr>
          <w:trHeight w:val="576" w:hRule="atLeast"/>
        </w:trPr>
        <w:tc>
          <w:tcPr>
            <w:tcW w:w="2293" w:type="dxa"/>
            <w:tcBorders>
              <w:left w:val="single" w:color="000000" w:sz="4" w:space="0"/>
              <w:bottom w:val="single" w:color="000000" w:sz="4" w:space="0"/>
              <w:right w:val="single" w:color="000000" w:sz="4" w:space="0"/>
            </w:tcBorders>
            <w:tcMar>
              <w:left w:w="15" w:type="dxa"/>
              <w:right w:w="15" w:type="dxa"/>
            </w:tcMar>
            <w:vAlign w:val="center"/>
          </w:tcPr>
          <w:p w14:paraId="3F40602B">
            <w:pPr>
              <w:widowControl/>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4"/>
                <w:szCs w:val="24"/>
                <w14:textFill>
                  <w14:solidFill>
                    <w14:schemeClr w14:val="tx1"/>
                  </w14:solidFill>
                </w14:textFill>
              </w:rPr>
              <w:t>合计</w:t>
            </w:r>
          </w:p>
        </w:tc>
        <w:tc>
          <w:tcPr>
            <w:tcW w:w="1784" w:type="dxa"/>
            <w:tcBorders>
              <w:left w:val="single" w:color="000000" w:sz="4" w:space="0"/>
              <w:bottom w:val="single" w:color="000000" w:sz="4" w:space="0"/>
              <w:right w:val="single" w:color="000000" w:sz="4" w:space="0"/>
            </w:tcBorders>
            <w:tcMar>
              <w:left w:w="15" w:type="dxa"/>
              <w:right w:w="15" w:type="dxa"/>
            </w:tcMar>
            <w:vAlign w:val="center"/>
          </w:tcPr>
          <w:p w14:paraId="6C3F8225">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252</w:t>
            </w:r>
          </w:p>
        </w:tc>
        <w:tc>
          <w:tcPr>
            <w:tcW w:w="2235"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49967004">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211</w:t>
            </w:r>
          </w:p>
        </w:tc>
        <w:tc>
          <w:tcPr>
            <w:tcW w:w="1939"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14:paraId="54AA2854">
            <w:pPr>
              <w:widowControl/>
              <w:jc w:val="center"/>
              <w:rPr>
                <w:rFonts w:hint="default" w:ascii="仿宋_GB2312" w:hAnsi="仿宋_GB2312" w:eastAsia="仿宋_GB2312" w:cs="仿宋_GB2312"/>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t>188</w:t>
            </w:r>
          </w:p>
        </w:tc>
      </w:tr>
    </w:tbl>
    <w:p w14:paraId="0CCB50C2">
      <w:pPr>
        <w:pStyle w:val="11"/>
        <w:numPr>
          <w:ilvl w:val="0"/>
          <w:numId w:val="0"/>
        </w:numPr>
        <w:ind w:firstLine="640" w:firstLineChars="200"/>
        <w:rPr>
          <w:rFonts w:hint="default"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1.3.2在校生规模</w:t>
      </w:r>
    </w:p>
    <w:p w14:paraId="2066A121">
      <w:pPr>
        <w:pStyle w:val="11"/>
        <w:numPr>
          <w:ilvl w:val="0"/>
          <w:numId w:val="0"/>
        </w:numPr>
        <w:ind w:left="638" w:leftChars="304" w:firstLine="0" w:firstLineChars="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在校生</w:t>
      </w:r>
      <w:r>
        <w:rPr>
          <w:rFonts w:hint="eastAsia" w:ascii="仿宋" w:hAnsi="仿宋" w:eastAsia="仿宋" w:cs="仿宋"/>
          <w:color w:val="000000" w:themeColor="text1"/>
          <w:sz w:val="32"/>
          <w:szCs w:val="32"/>
          <w:lang w:val="en-US" w:eastAsia="zh-CN"/>
          <w14:textFill>
            <w14:solidFill>
              <w14:schemeClr w14:val="tx1"/>
            </w14:solidFill>
          </w14:textFill>
        </w:rPr>
        <w:t>635</w:t>
      </w:r>
      <w:r>
        <w:rPr>
          <w:rFonts w:hint="eastAsia" w:ascii="仿宋" w:hAnsi="仿宋" w:eastAsia="仿宋" w:cs="仿宋"/>
          <w:color w:val="000000" w:themeColor="text1"/>
          <w:sz w:val="32"/>
          <w:szCs w:val="32"/>
          <w14:textFill>
            <w14:solidFill>
              <w14:schemeClr w14:val="tx1"/>
            </w14:solidFill>
          </w14:textFill>
        </w:rPr>
        <w:t>人，其中一年级</w:t>
      </w:r>
      <w:r>
        <w:rPr>
          <w:rFonts w:hint="eastAsia" w:ascii="仿宋" w:hAnsi="仿宋" w:eastAsia="仿宋" w:cs="仿宋"/>
          <w:color w:val="000000" w:themeColor="text1"/>
          <w:sz w:val="32"/>
          <w:szCs w:val="32"/>
          <w:lang w:val="en-US" w:eastAsia="zh-CN"/>
          <w14:textFill>
            <w14:solidFill>
              <w14:schemeClr w14:val="tx1"/>
            </w14:solidFill>
          </w14:textFill>
        </w:rPr>
        <w:t>188</w:t>
      </w:r>
      <w:r>
        <w:rPr>
          <w:rFonts w:hint="eastAsia" w:ascii="仿宋" w:hAnsi="仿宋" w:eastAsia="仿宋" w:cs="仿宋"/>
          <w:color w:val="000000" w:themeColor="text1"/>
          <w:sz w:val="32"/>
          <w:szCs w:val="32"/>
          <w14:textFill>
            <w14:solidFill>
              <w14:schemeClr w14:val="tx1"/>
            </w14:solidFill>
          </w14:textFill>
        </w:rPr>
        <w:t>人，二年级</w:t>
      </w:r>
      <w:r>
        <w:rPr>
          <w:rFonts w:hint="eastAsia" w:ascii="仿宋" w:hAnsi="仿宋" w:eastAsia="仿宋" w:cs="仿宋"/>
          <w:color w:val="000000" w:themeColor="text1"/>
          <w:sz w:val="32"/>
          <w:szCs w:val="32"/>
          <w:lang w:val="en-US" w:eastAsia="zh-CN"/>
          <w14:textFill>
            <w14:solidFill>
              <w14:schemeClr w14:val="tx1"/>
            </w14:solidFill>
          </w14:textFill>
        </w:rPr>
        <w:t>211</w:t>
      </w:r>
    </w:p>
    <w:p w14:paraId="1A1857E6">
      <w:pPr>
        <w:pStyle w:val="11"/>
        <w:numPr>
          <w:ilvl w:val="0"/>
          <w:numId w:val="0"/>
        </w:numPr>
        <w:rPr>
          <w:rFonts w:ascii="仿宋_GB2312" w:eastAsia="仿宋_GB2312"/>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人，三年级</w:t>
      </w:r>
      <w:r>
        <w:rPr>
          <w:rFonts w:hint="eastAsia" w:ascii="仿宋" w:hAnsi="仿宋" w:eastAsia="仿宋" w:cs="仿宋"/>
          <w:color w:val="000000" w:themeColor="text1"/>
          <w:sz w:val="32"/>
          <w:szCs w:val="32"/>
          <w:lang w:val="en-US" w:eastAsia="zh-CN"/>
          <w14:textFill>
            <w14:solidFill>
              <w14:schemeClr w14:val="tx1"/>
            </w14:solidFill>
          </w14:textFill>
        </w:rPr>
        <w:t>252</w:t>
      </w:r>
      <w:r>
        <w:rPr>
          <w:rFonts w:hint="eastAsia" w:ascii="仿宋" w:hAnsi="仿宋" w:eastAsia="仿宋" w:cs="仿宋"/>
          <w:color w:val="000000" w:themeColor="text1"/>
          <w:sz w:val="32"/>
          <w:szCs w:val="32"/>
          <w14:textFill>
            <w14:solidFill>
              <w14:schemeClr w14:val="tx1"/>
            </w14:solidFill>
          </w14:textFill>
        </w:rPr>
        <w:t>人，与上一年相比在校生总量增加</w:t>
      </w:r>
      <w:r>
        <w:rPr>
          <w:rFonts w:hint="eastAsia" w:ascii="仿宋" w:hAnsi="仿宋" w:eastAsia="仿宋" w:cs="仿宋"/>
          <w:color w:val="000000" w:themeColor="text1"/>
          <w:sz w:val="32"/>
          <w:szCs w:val="32"/>
          <w:lang w:val="en-US" w:eastAsia="zh-CN"/>
          <w14:textFill>
            <w14:solidFill>
              <w14:schemeClr w14:val="tx1"/>
            </w14:solidFill>
          </w14:textFill>
        </w:rPr>
        <w:t>92</w:t>
      </w:r>
      <w:r>
        <w:rPr>
          <w:rFonts w:hint="eastAsia" w:ascii="仿宋" w:hAnsi="仿宋" w:eastAsia="仿宋" w:cs="仿宋"/>
          <w:color w:val="000000" w:themeColor="text1"/>
          <w:sz w:val="32"/>
          <w:szCs w:val="32"/>
          <w14:textFill>
            <w14:solidFill>
              <w14:schemeClr w14:val="tx1"/>
            </w14:solidFill>
          </w14:textFill>
        </w:rPr>
        <w:t>人。</w:t>
      </w:r>
    </w:p>
    <w:p w14:paraId="0148EE11">
      <w:pPr>
        <w:pStyle w:val="11"/>
        <w:numPr>
          <w:ilvl w:val="0"/>
          <w:numId w:val="0"/>
        </w:numPr>
        <w:ind w:left="638" w:leftChars="304" w:firstLine="0" w:firstLineChars="0"/>
        <w:rPr>
          <w:rFonts w:hint="eastAsia" w:ascii="仿宋_GB2312" w:eastAsia="仿宋_GB2312"/>
          <w:color w:val="000000" w:themeColor="text1"/>
          <w:kern w:val="0"/>
          <w:sz w:val="32"/>
          <w:szCs w:val="32"/>
          <w:lang w:val="en-US" w:eastAsia="zh-CN"/>
          <w14:textFill>
            <w14:solidFill>
              <w14:schemeClr w14:val="tx1"/>
            </w14:solidFill>
          </w14:textFill>
        </w:rPr>
      </w:pPr>
      <w:r>
        <w:rPr>
          <w:rFonts w:ascii="仿宋_GB2312" w:eastAsia="仿宋_GB2312"/>
          <w:color w:val="000000" w:themeColor="text1"/>
          <w:kern w:val="0"/>
          <w:sz w:val="32"/>
          <w:szCs w:val="32"/>
          <w14:textFill>
            <w14:solidFill>
              <w14:schemeClr w14:val="tx1"/>
            </w14:solidFill>
          </w14:textFill>
        </w:rPr>
        <w:object>
          <v:shape id="_x0000_i1025" o:spt="75" type="#_x0000_t75" style="height:249.5pt;width:382.2pt;" o:ole="t" filled="f" o:preferrelative="t" stroked="f" coordsize="21600,21600">
            <v:path/>
            <v:fill on="f" focussize="0,0"/>
            <v:stroke on="f"/>
            <v:imagedata r:id="rId6" o:title=""/>
            <o:lock v:ext="edit" aspectratio="f"/>
            <w10:wrap type="none"/>
            <w10:anchorlock/>
          </v:shape>
          <o:OLEObject Type="Embed" ProgID="Excel.Sheet.8" ShapeID="_x0000_i1025" DrawAspect="Content" ObjectID="_1468075725" r:id="rId5">
            <o:LockedField>false</o:LockedField>
          </o:OLEObject>
        </w:object>
      </w:r>
      <w:r>
        <w:rPr>
          <w:rFonts w:hint="eastAsia" w:ascii="仿宋_GB2312" w:eastAsia="仿宋_GB2312"/>
          <w:color w:val="000000" w:themeColor="text1"/>
          <w:kern w:val="0"/>
          <w:sz w:val="32"/>
          <w:szCs w:val="32"/>
          <w:lang w:val="en-US" w:eastAsia="zh-CN"/>
          <w14:textFill>
            <w14:solidFill>
              <w14:schemeClr w14:val="tx1"/>
            </w14:solidFill>
          </w14:textFill>
        </w:rPr>
        <w:t xml:space="preserve">    </w:t>
      </w:r>
    </w:p>
    <w:p w14:paraId="2F210137">
      <w:pPr>
        <w:widowControl/>
        <w:ind w:firstLine="420" w:firstLineChars="200"/>
        <w:jc w:val="left"/>
        <w:rPr>
          <w:rFonts w:ascii="Times New Roman" w:hAnsi="Times New Roman" w:eastAsia="仿宋_GB2312"/>
          <w:color w:val="000000" w:themeColor="text1"/>
          <w:kern w:val="0"/>
          <w:sz w:val="32"/>
          <w:szCs w:val="32"/>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Times New Roman" w:hAnsi="Times New Roman" w:eastAsia="仿宋_GB2312"/>
          <w:color w:val="000000" w:themeColor="text1"/>
          <w:kern w:val="0"/>
          <w:sz w:val="32"/>
          <w:szCs w:val="32"/>
          <w14:textFill>
            <w14:solidFill>
              <w14:schemeClr w14:val="tx1"/>
            </w14:solidFill>
          </w14:textFill>
        </w:rPr>
        <w:t>1</w:t>
      </w:r>
      <w:r>
        <w:rPr>
          <w:rFonts w:ascii="Times New Roman" w:hAnsi="Times New Roman" w:eastAsia="仿宋_GB2312"/>
          <w:color w:val="000000" w:themeColor="text1"/>
          <w:kern w:val="0"/>
          <w:sz w:val="32"/>
          <w:szCs w:val="32"/>
          <w14:textFill>
            <w14:solidFill>
              <w14:schemeClr w14:val="tx1"/>
            </w14:solidFill>
          </w14:textFill>
        </w:rPr>
        <w:t>.</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3</w:t>
      </w:r>
      <w:r>
        <w:rPr>
          <w:rFonts w:ascii="Times New Roman" w:hAnsi="Times New Roman" w:eastAsia="仿宋_GB2312"/>
          <w:color w:val="000000" w:themeColor="text1"/>
          <w:kern w:val="0"/>
          <w:sz w:val="32"/>
          <w:szCs w:val="32"/>
          <w14:textFill>
            <w14:solidFill>
              <w14:schemeClr w14:val="tx1"/>
            </w14:solidFill>
          </w14:textFill>
        </w:rPr>
        <w:t>.3毕业生规模</w:t>
      </w:r>
    </w:p>
    <w:p w14:paraId="0810D0A8">
      <w:pPr>
        <w:widowControl/>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年毕业生总数</w:t>
      </w:r>
      <w:r>
        <w:rPr>
          <w:rFonts w:hint="eastAsia" w:ascii="仿宋" w:hAnsi="仿宋" w:eastAsia="仿宋" w:cs="仿宋"/>
          <w:color w:val="000000" w:themeColor="text1"/>
          <w:sz w:val="32"/>
          <w:szCs w:val="32"/>
          <w:lang w:val="en-US" w:eastAsia="zh-CN"/>
          <w14:textFill>
            <w14:solidFill>
              <w14:schemeClr w14:val="tx1"/>
            </w14:solidFill>
          </w14:textFill>
        </w:rPr>
        <w:t>1104</w:t>
      </w:r>
      <w:r>
        <w:rPr>
          <w:rFonts w:hint="eastAsia" w:ascii="仿宋" w:hAnsi="仿宋" w:eastAsia="仿宋" w:cs="仿宋"/>
          <w:color w:val="000000" w:themeColor="text1"/>
          <w:sz w:val="32"/>
          <w:szCs w:val="32"/>
          <w14:textFill>
            <w14:solidFill>
              <w14:schemeClr w14:val="tx1"/>
            </w14:solidFill>
          </w14:textFill>
        </w:rPr>
        <w:t>人，其中焊接技术应用</w:t>
      </w:r>
      <w:r>
        <w:rPr>
          <w:rFonts w:hint="eastAsia" w:ascii="仿宋" w:hAnsi="仿宋" w:eastAsia="仿宋" w:cs="仿宋"/>
          <w:color w:val="000000" w:themeColor="text1"/>
          <w:sz w:val="32"/>
          <w:szCs w:val="32"/>
          <w:lang w:val="en-US" w:eastAsia="zh-CN"/>
          <w14:textFill>
            <w14:solidFill>
              <w14:schemeClr w14:val="tx1"/>
            </w14:solidFill>
          </w14:textFill>
        </w:rPr>
        <w:t>15</w:t>
      </w:r>
      <w:r>
        <w:rPr>
          <w:rFonts w:hint="eastAsia" w:ascii="仿宋" w:hAnsi="仿宋" w:eastAsia="仿宋" w:cs="仿宋"/>
          <w:color w:val="000000" w:themeColor="text1"/>
          <w:sz w:val="32"/>
          <w:szCs w:val="32"/>
          <w14:textFill>
            <w14:solidFill>
              <w14:schemeClr w14:val="tx1"/>
            </w14:solidFill>
          </w14:textFill>
        </w:rPr>
        <w:t>人，机电技术应用</w:t>
      </w:r>
      <w:r>
        <w:rPr>
          <w:rFonts w:hint="eastAsia" w:ascii="仿宋" w:hAnsi="仿宋" w:eastAsia="仿宋" w:cs="仿宋"/>
          <w:color w:val="000000" w:themeColor="text1"/>
          <w:sz w:val="32"/>
          <w:szCs w:val="32"/>
          <w:lang w:val="en-US" w:eastAsia="zh-CN"/>
          <w14:textFill>
            <w14:solidFill>
              <w14:schemeClr w14:val="tx1"/>
            </w14:solidFill>
          </w14:textFill>
        </w:rPr>
        <w:t>26</w:t>
      </w:r>
      <w:r>
        <w:rPr>
          <w:rFonts w:hint="eastAsia" w:ascii="仿宋" w:hAnsi="仿宋" w:eastAsia="仿宋" w:cs="仿宋"/>
          <w:color w:val="000000" w:themeColor="text1"/>
          <w:sz w:val="32"/>
          <w:szCs w:val="32"/>
          <w14:textFill>
            <w14:solidFill>
              <w14:schemeClr w14:val="tx1"/>
            </w14:solidFill>
          </w14:textFill>
        </w:rPr>
        <w:t>人，计算机应用</w:t>
      </w:r>
      <w:r>
        <w:rPr>
          <w:rFonts w:hint="eastAsia" w:ascii="仿宋" w:hAnsi="仿宋" w:eastAsia="仿宋" w:cs="仿宋"/>
          <w:color w:val="000000" w:themeColor="text1"/>
          <w:sz w:val="32"/>
          <w:szCs w:val="32"/>
          <w:lang w:val="en-US" w:eastAsia="zh-CN"/>
          <w14:textFill>
            <w14:solidFill>
              <w14:schemeClr w14:val="tx1"/>
            </w14:solidFill>
          </w14:textFill>
        </w:rPr>
        <w:t>129</w:t>
      </w:r>
      <w:r>
        <w:rPr>
          <w:rFonts w:hint="eastAsia" w:ascii="仿宋" w:hAnsi="仿宋" w:eastAsia="仿宋" w:cs="仿宋"/>
          <w:color w:val="000000" w:themeColor="text1"/>
          <w:sz w:val="32"/>
          <w:szCs w:val="32"/>
          <w14:textFill>
            <w14:solidFill>
              <w14:schemeClr w14:val="tx1"/>
            </w14:solidFill>
          </w14:textFill>
        </w:rPr>
        <w:t>人，旅游服务与管理</w:t>
      </w:r>
      <w:r>
        <w:rPr>
          <w:rFonts w:hint="eastAsia" w:ascii="仿宋" w:hAnsi="仿宋" w:eastAsia="仿宋" w:cs="仿宋"/>
          <w:color w:val="000000" w:themeColor="text1"/>
          <w:sz w:val="32"/>
          <w:szCs w:val="32"/>
          <w:lang w:val="en-US" w:eastAsia="zh-CN"/>
          <w14:textFill>
            <w14:solidFill>
              <w14:schemeClr w14:val="tx1"/>
            </w14:solidFill>
          </w14:textFill>
        </w:rPr>
        <w:t>15</w:t>
      </w:r>
      <w:r>
        <w:rPr>
          <w:rFonts w:hint="eastAsia" w:ascii="仿宋" w:hAnsi="仿宋" w:eastAsia="仿宋" w:cs="仿宋"/>
          <w:color w:val="000000" w:themeColor="text1"/>
          <w:sz w:val="32"/>
          <w:szCs w:val="32"/>
          <w14:textFill>
            <w14:solidFill>
              <w14:schemeClr w14:val="tx1"/>
            </w14:solidFill>
          </w14:textFill>
        </w:rPr>
        <w:t>人，美术设计与制作</w:t>
      </w:r>
      <w:r>
        <w:rPr>
          <w:rFonts w:hint="eastAsia" w:ascii="仿宋" w:hAnsi="仿宋" w:eastAsia="仿宋" w:cs="仿宋"/>
          <w:color w:val="000000" w:themeColor="text1"/>
          <w:sz w:val="32"/>
          <w:szCs w:val="32"/>
          <w:lang w:val="en-US" w:eastAsia="zh-CN"/>
          <w14:textFill>
            <w14:solidFill>
              <w14:schemeClr w14:val="tx1"/>
            </w14:solidFill>
          </w14:textFill>
        </w:rPr>
        <w:t>21</w:t>
      </w:r>
      <w:r>
        <w:rPr>
          <w:rFonts w:hint="eastAsia" w:ascii="仿宋" w:hAnsi="仿宋" w:eastAsia="仿宋" w:cs="仿宋"/>
          <w:color w:val="000000" w:themeColor="text1"/>
          <w:sz w:val="32"/>
          <w:szCs w:val="32"/>
          <w14:textFill>
            <w14:solidFill>
              <w14:schemeClr w14:val="tx1"/>
            </w14:solidFill>
          </w14:textFill>
        </w:rPr>
        <w:t>人，汽车运用与维修</w:t>
      </w:r>
      <w:r>
        <w:rPr>
          <w:rFonts w:hint="eastAsia" w:ascii="仿宋" w:hAnsi="仿宋" w:eastAsia="仿宋" w:cs="仿宋"/>
          <w:color w:val="000000" w:themeColor="text1"/>
          <w:sz w:val="32"/>
          <w:szCs w:val="32"/>
          <w:lang w:val="en-US" w:eastAsia="zh-CN"/>
          <w14:textFill>
            <w14:solidFill>
              <w14:schemeClr w14:val="tx1"/>
            </w14:solidFill>
          </w14:textFill>
        </w:rPr>
        <w:t>13</w:t>
      </w:r>
      <w:r>
        <w:rPr>
          <w:rFonts w:hint="eastAsia" w:ascii="仿宋" w:hAnsi="仿宋" w:eastAsia="仿宋" w:cs="仿宋"/>
          <w:color w:val="000000" w:themeColor="text1"/>
          <w:sz w:val="32"/>
          <w:szCs w:val="32"/>
          <w14:textFill>
            <w14:solidFill>
              <w14:schemeClr w14:val="tx1"/>
            </w14:solidFill>
          </w14:textFill>
        </w:rPr>
        <w:t>人，社会文化艺术</w:t>
      </w:r>
      <w:r>
        <w:rPr>
          <w:rFonts w:hint="eastAsia" w:ascii="仿宋" w:hAnsi="仿宋" w:eastAsia="仿宋" w:cs="仿宋"/>
          <w:color w:val="000000" w:themeColor="text1"/>
          <w:sz w:val="32"/>
          <w:szCs w:val="32"/>
          <w:lang w:val="en-US" w:eastAsia="zh-CN"/>
          <w14:textFill>
            <w14:solidFill>
              <w14:schemeClr w14:val="tx1"/>
            </w14:solidFill>
          </w14:textFill>
        </w:rPr>
        <w:t>21</w:t>
      </w:r>
      <w:r>
        <w:rPr>
          <w:rFonts w:hint="eastAsia" w:ascii="仿宋" w:hAnsi="仿宋" w:eastAsia="仿宋" w:cs="仿宋"/>
          <w:color w:val="000000" w:themeColor="text1"/>
          <w:sz w:val="32"/>
          <w:szCs w:val="32"/>
          <w14:textFill>
            <w14:solidFill>
              <w14:schemeClr w14:val="tx1"/>
            </w14:solidFill>
          </w14:textFill>
        </w:rPr>
        <w:t>人，舞蹈表演</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人。</w:t>
      </w:r>
    </w:p>
    <w:p w14:paraId="774F2179">
      <w:pPr>
        <w:pStyle w:val="11"/>
        <w:rPr>
          <w:rFonts w:ascii="Times New Roman" w:hAnsi="Times New Roman" w:eastAsia="仿宋_GB2312"/>
          <w:color w:val="000000" w:themeColor="text1"/>
          <w:kern w:val="0"/>
          <w:sz w:val="32"/>
          <w:szCs w:val="32"/>
          <w14:textFill>
            <w14:solidFill>
              <w14:schemeClr w14:val="tx1"/>
            </w14:solidFill>
          </w14:textFill>
        </w:rPr>
      </w:pPr>
      <w:r>
        <w:rPr>
          <w:rFonts w:hint="eastAsia" w:eastAsia="仿宋"/>
          <w:lang w:eastAsia="zh-CN"/>
        </w:rPr>
        <w:object>
          <v:shape id="_x0000_i1026" o:spt="75" type="#_x0000_t75" style="height:303.15pt;width:416.9pt;" o:ole="t" filled="f" o:preferrelative="t" stroked="f" coordsize="21600,21600">
            <v:path/>
            <v:fill on="f" focussize="0,0"/>
            <v:stroke on="f"/>
            <v:imagedata r:id="rId8" o:title=""/>
            <o:lock v:ext="edit" aspectratio="t"/>
            <w10:wrap type="none"/>
            <w10:anchorlock/>
          </v:shape>
          <o:OLEObject Type="Embed" ProgID="Excel.Sheet.8" ShapeID="_x0000_i1026" DrawAspect="Content" ObjectID="_1468075726" r:id="rId7">
            <o:LockedField>false</o:LockedField>
          </o:OLEObject>
        </w:object>
      </w:r>
      <w:r>
        <w:rPr>
          <w:rFonts w:hint="eastAsia"/>
          <w:color w:val="000000" w:themeColor="text1"/>
          <w:lang w:val="en-US" w:eastAsia="zh-CN"/>
          <w14:textFill>
            <w14:solidFill>
              <w14:schemeClr w14:val="tx1"/>
            </w14:solidFill>
          </w14:textFill>
        </w:rPr>
        <w:t xml:space="preserve">  </w:t>
      </w:r>
      <w:r>
        <w:rPr>
          <w:rFonts w:hint="eastAsia" w:ascii="Times New Roman" w:hAnsi="Times New Roman" w:eastAsia="仿宋_GB2312"/>
          <w:color w:val="000000" w:themeColor="text1"/>
          <w:kern w:val="0"/>
          <w:sz w:val="32"/>
          <w:szCs w:val="32"/>
          <w14:textFill>
            <w14:solidFill>
              <w14:schemeClr w14:val="tx1"/>
            </w14:solidFill>
          </w14:textFill>
        </w:rPr>
        <w:t>1</w:t>
      </w:r>
      <w:r>
        <w:rPr>
          <w:rFonts w:ascii="Times New Roman" w:hAnsi="Times New Roman" w:eastAsia="仿宋_GB2312"/>
          <w:color w:val="000000" w:themeColor="text1"/>
          <w:kern w:val="0"/>
          <w:sz w:val="32"/>
          <w:szCs w:val="32"/>
          <w14:textFill>
            <w14:solidFill>
              <w14:schemeClr w14:val="tx1"/>
            </w14:solidFill>
          </w14:textFill>
        </w:rPr>
        <w:t>.</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3</w:t>
      </w:r>
      <w:r>
        <w:rPr>
          <w:rFonts w:ascii="Times New Roman" w:hAnsi="Times New Roman" w:eastAsia="仿宋_GB2312"/>
          <w:color w:val="000000" w:themeColor="text1"/>
          <w:kern w:val="0"/>
          <w:sz w:val="32"/>
          <w:szCs w:val="32"/>
          <w14:textFill>
            <w14:solidFill>
              <w14:schemeClr w14:val="tx1"/>
            </w14:solidFill>
          </w14:textFill>
        </w:rPr>
        <w:t>.4学生结构</w:t>
      </w:r>
    </w:p>
    <w:p w14:paraId="24D086FD">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在校生学生专业分布：焊接技术应用</w:t>
      </w:r>
      <w:r>
        <w:rPr>
          <w:rFonts w:hint="eastAsia" w:ascii="仿宋" w:hAnsi="仿宋" w:eastAsia="仿宋" w:cs="仿宋"/>
          <w:color w:val="000000" w:themeColor="text1"/>
          <w:sz w:val="32"/>
          <w:szCs w:val="32"/>
          <w:lang w:val="en-US" w:eastAsia="zh-CN"/>
          <w14:textFill>
            <w14:solidFill>
              <w14:schemeClr w14:val="tx1"/>
            </w14:solidFill>
          </w14:textFill>
        </w:rPr>
        <w:t>33</w:t>
      </w:r>
      <w:r>
        <w:rPr>
          <w:rFonts w:hint="eastAsia" w:ascii="仿宋" w:hAnsi="仿宋" w:eastAsia="仿宋" w:cs="仿宋"/>
          <w:color w:val="000000" w:themeColor="text1"/>
          <w:sz w:val="32"/>
          <w:szCs w:val="32"/>
          <w14:textFill>
            <w14:solidFill>
              <w14:schemeClr w14:val="tx1"/>
            </w14:solidFill>
          </w14:textFill>
        </w:rPr>
        <w:t>人，机电技术应用</w:t>
      </w:r>
      <w:r>
        <w:rPr>
          <w:rFonts w:hint="eastAsia" w:ascii="仿宋" w:hAnsi="仿宋" w:eastAsia="仿宋" w:cs="仿宋"/>
          <w:color w:val="000000" w:themeColor="text1"/>
          <w:sz w:val="32"/>
          <w:szCs w:val="32"/>
          <w:lang w:val="en-US" w:eastAsia="zh-CN"/>
          <w14:textFill>
            <w14:solidFill>
              <w14:schemeClr w14:val="tx1"/>
            </w14:solidFill>
          </w14:textFill>
        </w:rPr>
        <w:t>99</w:t>
      </w:r>
      <w:r>
        <w:rPr>
          <w:rFonts w:hint="eastAsia" w:ascii="仿宋" w:hAnsi="仿宋" w:eastAsia="仿宋" w:cs="仿宋"/>
          <w:color w:val="000000" w:themeColor="text1"/>
          <w:sz w:val="32"/>
          <w:szCs w:val="32"/>
          <w14:textFill>
            <w14:solidFill>
              <w14:schemeClr w14:val="tx1"/>
            </w14:solidFill>
          </w14:textFill>
        </w:rPr>
        <w:t>人，</w:t>
      </w:r>
      <w:r>
        <w:rPr>
          <w:rFonts w:hint="eastAsia" w:ascii="仿宋" w:hAnsi="仿宋" w:eastAsia="仿宋" w:cs="仿宋"/>
          <w:color w:val="000000" w:themeColor="text1"/>
          <w:sz w:val="32"/>
          <w:szCs w:val="32"/>
          <w:lang w:eastAsia="zh-CN"/>
          <w14:textFill>
            <w14:solidFill>
              <w14:schemeClr w14:val="tx1"/>
            </w14:solidFill>
          </w14:textFill>
        </w:rPr>
        <w:t>艺</w:t>
      </w:r>
      <w:r>
        <w:rPr>
          <w:rFonts w:hint="eastAsia" w:ascii="仿宋" w:hAnsi="仿宋" w:eastAsia="仿宋" w:cs="仿宋"/>
          <w:color w:val="000000" w:themeColor="text1"/>
          <w:sz w:val="32"/>
          <w:szCs w:val="32"/>
          <w14:textFill>
            <w14:solidFill>
              <w14:schemeClr w14:val="tx1"/>
            </w14:solidFill>
          </w14:textFill>
        </w:rPr>
        <w:t>术设计与制作</w:t>
      </w:r>
      <w:r>
        <w:rPr>
          <w:rFonts w:hint="eastAsia" w:ascii="仿宋" w:hAnsi="仿宋" w:eastAsia="仿宋" w:cs="仿宋"/>
          <w:color w:val="000000" w:themeColor="text1"/>
          <w:sz w:val="32"/>
          <w:szCs w:val="32"/>
          <w:lang w:val="en-US" w:eastAsia="zh-CN"/>
          <w14:textFill>
            <w14:solidFill>
              <w14:schemeClr w14:val="tx1"/>
            </w14:solidFill>
          </w14:textFill>
        </w:rPr>
        <w:t>128</w:t>
      </w:r>
      <w:r>
        <w:rPr>
          <w:rFonts w:hint="eastAsia" w:ascii="仿宋" w:hAnsi="仿宋" w:eastAsia="仿宋" w:cs="仿宋"/>
          <w:color w:val="000000" w:themeColor="text1"/>
          <w:sz w:val="32"/>
          <w:szCs w:val="32"/>
          <w14:textFill>
            <w14:solidFill>
              <w14:schemeClr w14:val="tx1"/>
            </w14:solidFill>
          </w14:textFill>
        </w:rPr>
        <w:t>人，汽车运用与维修</w:t>
      </w:r>
      <w:r>
        <w:rPr>
          <w:rFonts w:hint="eastAsia" w:ascii="仿宋" w:hAnsi="仿宋" w:eastAsia="仿宋" w:cs="仿宋"/>
          <w:color w:val="000000" w:themeColor="text1"/>
          <w:sz w:val="32"/>
          <w:szCs w:val="32"/>
          <w:lang w:val="en-US" w:eastAsia="zh-CN"/>
          <w14:textFill>
            <w14:solidFill>
              <w14:schemeClr w14:val="tx1"/>
            </w14:solidFill>
          </w14:textFill>
        </w:rPr>
        <w:t>29</w:t>
      </w:r>
      <w:r>
        <w:rPr>
          <w:rFonts w:hint="eastAsia" w:ascii="仿宋" w:hAnsi="仿宋" w:eastAsia="仿宋" w:cs="仿宋"/>
          <w:color w:val="000000" w:themeColor="text1"/>
          <w:sz w:val="32"/>
          <w:szCs w:val="32"/>
          <w14:textFill>
            <w14:solidFill>
              <w14:schemeClr w14:val="tx1"/>
            </w14:solidFill>
          </w14:textFill>
        </w:rPr>
        <w:t>人，计算机应用</w:t>
      </w:r>
      <w:r>
        <w:rPr>
          <w:rFonts w:hint="eastAsia" w:ascii="仿宋" w:hAnsi="仿宋" w:eastAsia="仿宋" w:cs="仿宋"/>
          <w:color w:val="000000" w:themeColor="text1"/>
          <w:sz w:val="32"/>
          <w:szCs w:val="32"/>
          <w:lang w:val="en-US" w:eastAsia="zh-CN"/>
          <w14:textFill>
            <w14:solidFill>
              <w14:schemeClr w14:val="tx1"/>
            </w14:solidFill>
          </w14:textFill>
        </w:rPr>
        <w:t>241</w:t>
      </w:r>
      <w:r>
        <w:rPr>
          <w:rFonts w:hint="eastAsia" w:ascii="仿宋" w:hAnsi="仿宋" w:eastAsia="仿宋" w:cs="仿宋"/>
          <w:color w:val="000000" w:themeColor="text1"/>
          <w:sz w:val="32"/>
          <w:szCs w:val="32"/>
          <w14:textFill>
            <w14:solidFill>
              <w14:schemeClr w14:val="tx1"/>
            </w14:solidFill>
          </w14:textFill>
        </w:rPr>
        <w:t>人，旅游服务与管理</w:t>
      </w:r>
      <w:r>
        <w:rPr>
          <w:rFonts w:hint="eastAsia" w:ascii="仿宋" w:hAnsi="仿宋" w:eastAsia="仿宋" w:cs="仿宋"/>
          <w:color w:val="000000" w:themeColor="text1"/>
          <w:sz w:val="32"/>
          <w:szCs w:val="32"/>
          <w:lang w:val="en-US" w:eastAsia="zh-CN"/>
          <w14:textFill>
            <w14:solidFill>
              <w14:schemeClr w14:val="tx1"/>
            </w14:solidFill>
          </w14:textFill>
        </w:rPr>
        <w:t>17</w:t>
      </w:r>
      <w:r>
        <w:rPr>
          <w:rFonts w:hint="eastAsia" w:ascii="仿宋" w:hAnsi="仿宋" w:eastAsia="仿宋" w:cs="仿宋"/>
          <w:color w:val="000000" w:themeColor="text1"/>
          <w:sz w:val="32"/>
          <w:szCs w:val="32"/>
          <w14:textFill>
            <w14:solidFill>
              <w14:schemeClr w14:val="tx1"/>
            </w14:solidFill>
          </w14:textFill>
        </w:rPr>
        <w:t>人，舞蹈表演</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人，音乐</w:t>
      </w:r>
      <w:r>
        <w:rPr>
          <w:rFonts w:hint="eastAsia" w:ascii="仿宋" w:hAnsi="仿宋" w:eastAsia="仿宋" w:cs="仿宋"/>
          <w:color w:val="000000" w:themeColor="text1"/>
          <w:sz w:val="32"/>
          <w:szCs w:val="32"/>
          <w:lang w:eastAsia="zh-CN"/>
          <w14:textFill>
            <w14:solidFill>
              <w14:schemeClr w14:val="tx1"/>
            </w14:solidFill>
          </w14:textFill>
        </w:rPr>
        <w:t>表演</w:t>
      </w:r>
      <w:r>
        <w:rPr>
          <w:rFonts w:hint="eastAsia" w:ascii="仿宋" w:hAnsi="仿宋" w:eastAsia="仿宋" w:cs="仿宋"/>
          <w:color w:val="000000" w:themeColor="text1"/>
          <w:sz w:val="32"/>
          <w:szCs w:val="32"/>
          <w:lang w:val="en-US" w:eastAsia="zh-CN"/>
          <w14:textFill>
            <w14:solidFill>
              <w14:schemeClr w14:val="tx1"/>
            </w14:solidFill>
          </w14:textFill>
        </w:rPr>
        <w:t>18</w:t>
      </w:r>
      <w:r>
        <w:rPr>
          <w:rFonts w:hint="eastAsia" w:ascii="仿宋" w:hAnsi="仿宋" w:eastAsia="仿宋" w:cs="仿宋"/>
          <w:color w:val="000000" w:themeColor="text1"/>
          <w:sz w:val="32"/>
          <w:szCs w:val="32"/>
          <w14:textFill>
            <w14:solidFill>
              <w14:schemeClr w14:val="tx1"/>
            </w14:solidFill>
          </w14:textFill>
        </w:rPr>
        <w:t>人，电子商务</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人，社会文化艺术</w:t>
      </w:r>
      <w:r>
        <w:rPr>
          <w:rFonts w:hint="eastAsia" w:ascii="仿宋" w:hAnsi="仿宋" w:eastAsia="仿宋" w:cs="仿宋"/>
          <w:color w:val="000000" w:themeColor="text1"/>
          <w:sz w:val="32"/>
          <w:szCs w:val="32"/>
          <w:lang w:val="en-US" w:eastAsia="zh-CN"/>
          <w14:textFill>
            <w14:solidFill>
              <w14:schemeClr w14:val="tx1"/>
            </w14:solidFill>
          </w14:textFill>
        </w:rPr>
        <w:t>65</w:t>
      </w:r>
      <w:r>
        <w:rPr>
          <w:rFonts w:hint="eastAsia" w:ascii="仿宋" w:hAnsi="仿宋" w:eastAsia="仿宋" w:cs="仿宋"/>
          <w:color w:val="000000" w:themeColor="text1"/>
          <w:sz w:val="32"/>
          <w:szCs w:val="32"/>
          <w14:textFill>
            <w14:solidFill>
              <w14:schemeClr w14:val="tx1"/>
            </w14:solidFill>
          </w14:textFill>
        </w:rPr>
        <w:t>人。</w:t>
      </w:r>
    </w:p>
    <w:p w14:paraId="6221B99D">
      <w:pPr>
        <w:pStyle w:val="11"/>
        <w:rPr>
          <w:color w:val="000000" w:themeColor="text1"/>
          <w14:textFill>
            <w14:solidFill>
              <w14:schemeClr w14:val="tx1"/>
            </w14:solidFill>
          </w14:textFill>
        </w:rPr>
      </w:pPr>
    </w:p>
    <w:p w14:paraId="4049B2A1">
      <w:pPr>
        <w:pStyle w:val="11"/>
        <w:rPr>
          <w:rFonts w:hint="eastAsia"/>
          <w:color w:val="000000" w:themeColor="text1"/>
          <w:lang w:val="en-US" w:eastAsia="zh-CN"/>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object>
          <v:shape id="_x0000_i1027" o:spt="75" type="#_x0000_t75" style="height:193.9pt;width:330.95pt;" o:ole="t" filled="f" o:preferrelative="t" stroked="f" coordsize="21600,21600">
            <v:path/>
            <v:fill on="f" focussize="0,0"/>
            <v:stroke on="f"/>
            <v:imagedata r:id="rId10" o:title=""/>
            <o:lock v:ext="edit" aspectratio="f"/>
            <w10:wrap type="none"/>
            <w10:anchorlock/>
          </v:shape>
          <o:OLEObject Type="Embed" ProgID="Excel.Sheet.8" ShapeID="_x0000_i1027" DrawAspect="Content" ObjectID="_1468075727" r:id="rId9">
            <o:LockedField>false</o:LockedField>
          </o:OLEObject>
        </w:object>
      </w:r>
    </w:p>
    <w:p w14:paraId="5BE77B7A">
      <w:pPr>
        <w:pStyle w:val="11"/>
        <w:numPr>
          <w:ilvl w:val="0"/>
          <w:numId w:val="0"/>
        </w:numPr>
        <w:ind w:left="638" w:leftChars="304" w:firstLine="0" w:firstLineChars="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1.4教师队伍</w:t>
      </w:r>
    </w:p>
    <w:p w14:paraId="7A3A1A2E">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1</w:t>
      </w:r>
      <w:r>
        <w:rPr>
          <w:rFonts w:ascii="Times New Roman" w:hAnsi="Times New Roman" w:eastAsia="仿宋_GB2312" w:cs="Times New Roman"/>
          <w:color w:val="000000" w:themeColor="text1"/>
          <w:kern w:val="0"/>
          <w:sz w:val="32"/>
          <w:szCs w:val="32"/>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4</w:t>
      </w:r>
      <w:r>
        <w:rPr>
          <w:rFonts w:ascii="Times New Roman" w:hAnsi="Times New Roman" w:eastAsia="仿宋_GB2312" w:cs="Times New Roman"/>
          <w:color w:val="000000" w:themeColor="text1"/>
          <w:kern w:val="0"/>
          <w:sz w:val="32"/>
          <w:szCs w:val="32"/>
          <w14:textFill>
            <w14:solidFill>
              <w14:schemeClr w14:val="tx1"/>
            </w14:solidFill>
          </w14:textFill>
        </w:rPr>
        <w:t>.1生师比</w:t>
      </w:r>
    </w:p>
    <w:p w14:paraId="3C470A99">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2023—2024年度</w:t>
      </w:r>
      <w:r>
        <w:rPr>
          <w:rFonts w:hint="eastAsia" w:ascii="仿宋" w:hAnsi="仿宋" w:eastAsia="仿宋" w:cs="仿宋"/>
          <w:color w:val="000000" w:themeColor="text1"/>
          <w:sz w:val="32"/>
          <w:szCs w:val="32"/>
          <w14:textFill>
            <w14:solidFill>
              <w14:schemeClr w14:val="tx1"/>
            </w14:solidFill>
          </w14:textFill>
        </w:rPr>
        <w:t>学校在校生</w:t>
      </w:r>
      <w:r>
        <w:rPr>
          <w:rFonts w:hint="eastAsia" w:ascii="仿宋" w:hAnsi="仿宋" w:eastAsia="仿宋" w:cs="仿宋"/>
          <w:color w:val="000000" w:themeColor="text1"/>
          <w:sz w:val="32"/>
          <w:szCs w:val="32"/>
          <w:lang w:val="en-US" w:eastAsia="zh-CN"/>
          <w14:textFill>
            <w14:solidFill>
              <w14:schemeClr w14:val="tx1"/>
            </w14:solidFill>
          </w14:textFill>
        </w:rPr>
        <w:t>635</w:t>
      </w:r>
      <w:r>
        <w:rPr>
          <w:rFonts w:hint="eastAsia" w:ascii="仿宋" w:hAnsi="仿宋" w:eastAsia="仿宋" w:cs="仿宋"/>
          <w:color w:val="000000" w:themeColor="text1"/>
          <w:sz w:val="32"/>
          <w:szCs w:val="32"/>
          <w14:textFill>
            <w14:solidFill>
              <w14:schemeClr w14:val="tx1"/>
            </w14:solidFill>
          </w14:textFill>
        </w:rPr>
        <w:t>人，专任教师</w:t>
      </w:r>
      <w:r>
        <w:rPr>
          <w:rFonts w:hint="eastAsia" w:ascii="仿宋" w:hAnsi="仿宋" w:eastAsia="仿宋" w:cs="仿宋"/>
          <w:color w:val="000000" w:themeColor="text1"/>
          <w:sz w:val="32"/>
          <w:szCs w:val="32"/>
          <w:lang w:val="en-US" w:eastAsia="zh-CN"/>
          <w14:textFill>
            <w14:solidFill>
              <w14:schemeClr w14:val="tx1"/>
            </w14:solidFill>
          </w14:textFill>
        </w:rPr>
        <w:t>92</w:t>
      </w:r>
      <w:r>
        <w:rPr>
          <w:rFonts w:hint="eastAsia" w:ascii="仿宋" w:hAnsi="仿宋" w:eastAsia="仿宋" w:cs="仿宋"/>
          <w:color w:val="000000" w:themeColor="text1"/>
          <w:sz w:val="32"/>
          <w:szCs w:val="32"/>
          <w14:textFill>
            <w14:solidFill>
              <w14:schemeClr w14:val="tx1"/>
            </w14:solidFill>
          </w14:textFill>
        </w:rPr>
        <w:t>人，生师比</w:t>
      </w:r>
      <w:r>
        <w:rPr>
          <w:rFonts w:hint="eastAsia" w:ascii="仿宋" w:hAnsi="仿宋" w:eastAsia="仿宋" w:cs="仿宋"/>
          <w:color w:val="000000" w:themeColor="text1"/>
          <w:sz w:val="32"/>
          <w:szCs w:val="32"/>
          <w:lang w:val="en-US" w:eastAsia="zh-CN"/>
          <w14:textFill>
            <w14:solidFill>
              <w14:schemeClr w14:val="tx1"/>
            </w14:solidFill>
          </w14:textFill>
        </w:rPr>
        <w:t>6.9:1</w:t>
      </w:r>
      <w:r>
        <w:rPr>
          <w:rFonts w:hint="eastAsia" w:ascii="仿宋" w:hAnsi="仿宋" w:eastAsia="仿宋" w:cs="仿宋"/>
          <w:color w:val="000000" w:themeColor="text1"/>
          <w:sz w:val="32"/>
          <w:szCs w:val="32"/>
          <w14:textFill>
            <w14:solidFill>
              <w14:schemeClr w14:val="tx1"/>
            </w14:solidFill>
          </w14:textFill>
        </w:rPr>
        <w:t>，比</w:t>
      </w:r>
      <w:r>
        <w:rPr>
          <w:rFonts w:hint="eastAsia" w:ascii="仿宋" w:hAnsi="仿宋" w:eastAsia="仿宋" w:cs="仿宋"/>
          <w:color w:val="000000" w:themeColor="text1"/>
          <w:sz w:val="32"/>
          <w:szCs w:val="32"/>
          <w:lang w:val="en-US" w:eastAsia="zh-CN"/>
          <w14:textFill>
            <w14:solidFill>
              <w14:schemeClr w14:val="tx1"/>
            </w14:solidFill>
          </w14:textFill>
        </w:rPr>
        <w:t>2022</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eastAsia="zh-CN"/>
          <w14:textFill>
            <w14:solidFill>
              <w14:schemeClr w14:val="tx1"/>
            </w14:solidFill>
          </w14:textFill>
        </w:rPr>
        <w:t>提高</w:t>
      </w:r>
      <w:r>
        <w:rPr>
          <w:rFonts w:hint="eastAsia" w:ascii="仿宋" w:hAnsi="仿宋" w:eastAsia="仿宋" w:cs="仿宋"/>
          <w:color w:val="000000" w:themeColor="text1"/>
          <w:sz w:val="32"/>
          <w:szCs w:val="32"/>
          <w14:textFill>
            <w14:solidFill>
              <w14:schemeClr w14:val="tx1"/>
            </w14:solidFill>
          </w14:textFill>
        </w:rPr>
        <w:t>了</w:t>
      </w:r>
      <w:r>
        <w:rPr>
          <w:rFonts w:hint="eastAsia" w:ascii="仿宋" w:hAnsi="仿宋" w:eastAsia="仿宋" w:cs="仿宋"/>
          <w:color w:val="000000" w:themeColor="text1"/>
          <w:sz w:val="32"/>
          <w:szCs w:val="32"/>
          <w:lang w:val="en-US" w:eastAsia="zh-CN"/>
          <w14:textFill>
            <w14:solidFill>
              <w14:schemeClr w14:val="tx1"/>
            </w14:solidFill>
          </w14:textFill>
        </w:rPr>
        <w:t>1.1，趋于合理</w:t>
      </w:r>
      <w:r>
        <w:rPr>
          <w:rFonts w:hint="eastAsia" w:ascii="仿宋" w:hAnsi="仿宋" w:eastAsia="仿宋" w:cs="仿宋"/>
          <w:color w:val="000000" w:themeColor="text1"/>
          <w:sz w:val="32"/>
          <w:szCs w:val="32"/>
          <w14:textFill>
            <w14:solidFill>
              <w14:schemeClr w14:val="tx1"/>
            </w14:solidFill>
          </w14:textFill>
        </w:rPr>
        <w:t>。</w:t>
      </w:r>
    </w:p>
    <w:p w14:paraId="02A8CE47">
      <w:pPr>
        <w:keepNext w:val="0"/>
        <w:keepLines w:val="0"/>
        <w:pageBreakBefore w:val="0"/>
        <w:widowControl/>
        <w:kinsoku/>
        <w:wordWrap/>
        <w:overflowPunct/>
        <w:topLinePunct w:val="0"/>
        <w:autoSpaceDE/>
        <w:autoSpaceDN/>
        <w:bidi w:val="0"/>
        <w:adjustRightInd/>
        <w:snapToGrid/>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1.</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kern w:val="0"/>
          <w:sz w:val="32"/>
          <w:szCs w:val="32"/>
          <w14:textFill>
            <w14:solidFill>
              <w14:schemeClr w14:val="tx1"/>
            </w14:solidFill>
          </w14:textFill>
        </w:rPr>
        <w:t>.2</w:t>
      </w:r>
      <w:r>
        <w:rPr>
          <w:rFonts w:ascii="仿宋_GB2312" w:hAnsi="仿宋_GB2312" w:eastAsia="仿宋_GB2312" w:cs="仿宋_GB2312"/>
          <w:color w:val="000000" w:themeColor="text1"/>
          <w:kern w:val="0"/>
          <w:sz w:val="32"/>
          <w:szCs w:val="32"/>
          <w14:textFill>
            <w14:solidFill>
              <w14:schemeClr w14:val="tx1"/>
            </w14:solidFill>
          </w14:textFill>
        </w:rPr>
        <w:t>师资队伍情况</w:t>
      </w:r>
    </w:p>
    <w:p w14:paraId="31EEFD4A">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教职工总数</w:t>
      </w:r>
      <w:r>
        <w:rPr>
          <w:rFonts w:hint="eastAsia" w:ascii="仿宋" w:hAnsi="仿宋" w:eastAsia="仿宋" w:cs="仿宋"/>
          <w:color w:val="000000" w:themeColor="text1"/>
          <w:sz w:val="32"/>
          <w:szCs w:val="32"/>
          <w:lang w:val="en-US" w:eastAsia="zh-CN"/>
          <w14:textFill>
            <w14:solidFill>
              <w14:schemeClr w14:val="tx1"/>
            </w14:solidFill>
          </w14:textFill>
        </w:rPr>
        <w:t>99</w:t>
      </w:r>
      <w:r>
        <w:rPr>
          <w:rFonts w:hint="eastAsia" w:ascii="仿宋" w:hAnsi="仿宋" w:eastAsia="仿宋" w:cs="仿宋"/>
          <w:color w:val="000000" w:themeColor="text1"/>
          <w:sz w:val="32"/>
          <w:szCs w:val="32"/>
          <w14:textFill>
            <w14:solidFill>
              <w14:schemeClr w14:val="tx1"/>
            </w14:solidFill>
          </w14:textFill>
        </w:rPr>
        <w:t>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其中专任教师</w:t>
      </w:r>
      <w:r>
        <w:rPr>
          <w:rFonts w:hint="eastAsia" w:ascii="仿宋" w:hAnsi="仿宋" w:eastAsia="仿宋" w:cs="仿宋"/>
          <w:color w:val="000000" w:themeColor="text1"/>
          <w:sz w:val="32"/>
          <w:szCs w:val="32"/>
          <w:lang w:val="en-US" w:eastAsia="zh-CN"/>
          <w14:textFill>
            <w14:solidFill>
              <w14:schemeClr w14:val="tx1"/>
            </w14:solidFill>
          </w14:textFill>
        </w:rPr>
        <w:t>92</w:t>
      </w:r>
      <w:r>
        <w:rPr>
          <w:rFonts w:hint="eastAsia" w:ascii="仿宋" w:hAnsi="仿宋" w:eastAsia="仿宋" w:cs="仿宋"/>
          <w:color w:val="000000" w:themeColor="text1"/>
          <w:sz w:val="32"/>
          <w:szCs w:val="32"/>
          <w14:textFill>
            <w14:solidFill>
              <w14:schemeClr w14:val="tx1"/>
            </w14:solidFill>
          </w14:textFill>
        </w:rPr>
        <w:t>人，高级讲师</w:t>
      </w:r>
      <w:r>
        <w:rPr>
          <w:rFonts w:hint="eastAsia" w:ascii="仿宋" w:hAnsi="仿宋" w:eastAsia="仿宋" w:cs="仿宋"/>
          <w:color w:val="000000" w:themeColor="text1"/>
          <w:sz w:val="32"/>
          <w:szCs w:val="32"/>
          <w:lang w:val="en-US" w:eastAsia="zh-CN"/>
          <w14:textFill>
            <w14:solidFill>
              <w14:schemeClr w14:val="tx1"/>
            </w14:solidFill>
          </w14:textFill>
        </w:rPr>
        <w:t>18</w:t>
      </w:r>
      <w:r>
        <w:rPr>
          <w:rFonts w:hint="eastAsia" w:ascii="仿宋" w:hAnsi="仿宋" w:eastAsia="仿宋" w:cs="仿宋"/>
          <w:color w:val="000000" w:themeColor="text1"/>
          <w:sz w:val="32"/>
          <w:szCs w:val="32"/>
          <w14:textFill>
            <w14:solidFill>
              <w14:schemeClr w14:val="tx1"/>
            </w14:solidFill>
          </w14:textFill>
        </w:rPr>
        <w:t>人，占比</w:t>
      </w:r>
      <w:r>
        <w:rPr>
          <w:rFonts w:hint="eastAsia" w:ascii="仿宋" w:hAnsi="仿宋" w:eastAsia="仿宋" w:cs="仿宋"/>
          <w:color w:val="000000" w:themeColor="text1"/>
          <w:sz w:val="32"/>
          <w:szCs w:val="32"/>
          <w:lang w:val="en-US" w:eastAsia="zh-CN"/>
          <w14:textFill>
            <w14:solidFill>
              <w14:schemeClr w14:val="tx1"/>
            </w14:solidFill>
          </w14:textFill>
        </w:rPr>
        <w:t>19.56</w:t>
      </w:r>
      <w:r>
        <w:rPr>
          <w:rFonts w:hint="eastAsia" w:ascii="仿宋" w:hAnsi="仿宋" w:eastAsia="仿宋" w:cs="仿宋"/>
          <w:color w:val="000000" w:themeColor="text1"/>
          <w:sz w:val="32"/>
          <w:szCs w:val="32"/>
          <w14:textFill>
            <w14:solidFill>
              <w14:schemeClr w14:val="tx1"/>
            </w14:solidFill>
          </w14:textFill>
        </w:rPr>
        <w:t>%，中级讲师</w:t>
      </w:r>
      <w:r>
        <w:rPr>
          <w:rFonts w:hint="eastAsia" w:ascii="仿宋" w:hAnsi="仿宋" w:eastAsia="仿宋" w:cs="仿宋"/>
          <w:color w:val="000000" w:themeColor="text1"/>
          <w:sz w:val="32"/>
          <w:szCs w:val="32"/>
          <w:lang w:val="en-US" w:eastAsia="zh-CN"/>
          <w14:textFill>
            <w14:solidFill>
              <w14:schemeClr w14:val="tx1"/>
            </w14:solidFill>
          </w14:textFill>
        </w:rPr>
        <w:t>37</w:t>
      </w:r>
      <w:r>
        <w:rPr>
          <w:rFonts w:hint="eastAsia" w:ascii="仿宋" w:hAnsi="仿宋" w:eastAsia="仿宋" w:cs="仿宋"/>
          <w:color w:val="000000" w:themeColor="text1"/>
          <w:sz w:val="32"/>
          <w:szCs w:val="32"/>
          <w14:textFill>
            <w14:solidFill>
              <w14:schemeClr w14:val="tx1"/>
            </w14:solidFill>
          </w14:textFill>
        </w:rPr>
        <w:t>人，占比</w:t>
      </w:r>
      <w:r>
        <w:rPr>
          <w:rFonts w:hint="eastAsia" w:ascii="仿宋" w:hAnsi="仿宋" w:eastAsia="仿宋" w:cs="仿宋"/>
          <w:color w:val="000000" w:themeColor="text1"/>
          <w:sz w:val="32"/>
          <w:szCs w:val="32"/>
          <w:lang w:val="en-US" w:eastAsia="zh-CN"/>
          <w14:textFill>
            <w14:solidFill>
              <w14:schemeClr w14:val="tx1"/>
            </w14:solidFill>
          </w14:textFill>
        </w:rPr>
        <w:t>37.4</w:t>
      </w:r>
      <w:r>
        <w:rPr>
          <w:rFonts w:hint="eastAsia" w:ascii="仿宋" w:hAnsi="仿宋" w:eastAsia="仿宋" w:cs="仿宋"/>
          <w:color w:val="000000" w:themeColor="text1"/>
          <w:sz w:val="32"/>
          <w:szCs w:val="32"/>
          <w14:textFill>
            <w14:solidFill>
              <w14:schemeClr w14:val="tx1"/>
            </w14:solidFill>
          </w14:textFill>
        </w:rPr>
        <w:t>%；“双师型”教师</w:t>
      </w:r>
      <w:r>
        <w:rPr>
          <w:rFonts w:hint="eastAsia" w:ascii="仿宋" w:hAnsi="仿宋" w:eastAsia="仿宋" w:cs="仿宋"/>
          <w:color w:val="000000" w:themeColor="text1"/>
          <w:sz w:val="32"/>
          <w:szCs w:val="32"/>
          <w:lang w:val="en-US" w:eastAsia="zh-CN"/>
          <w14:textFill>
            <w14:solidFill>
              <w14:schemeClr w14:val="tx1"/>
            </w14:solidFill>
          </w14:textFill>
        </w:rPr>
        <w:t>38</w:t>
      </w:r>
      <w:r>
        <w:rPr>
          <w:rFonts w:hint="eastAsia" w:ascii="仿宋" w:hAnsi="仿宋" w:eastAsia="仿宋" w:cs="仿宋"/>
          <w:color w:val="000000" w:themeColor="text1"/>
          <w:sz w:val="32"/>
          <w:szCs w:val="32"/>
          <w14:textFill>
            <w14:solidFill>
              <w14:schemeClr w14:val="tx1"/>
            </w14:solidFill>
          </w14:textFill>
        </w:rPr>
        <w:t>人，占比</w:t>
      </w:r>
      <w:r>
        <w:rPr>
          <w:rFonts w:hint="eastAsia" w:ascii="仿宋" w:hAnsi="仿宋" w:eastAsia="仿宋" w:cs="仿宋"/>
          <w:color w:val="000000" w:themeColor="text1"/>
          <w:sz w:val="32"/>
          <w:szCs w:val="32"/>
          <w:lang w:val="en-US" w:eastAsia="zh-CN"/>
          <w14:textFill>
            <w14:solidFill>
              <w14:schemeClr w14:val="tx1"/>
            </w14:solidFill>
          </w14:textFill>
        </w:rPr>
        <w:t>41.3%</w:t>
      </w:r>
      <w:r>
        <w:rPr>
          <w:rFonts w:hint="eastAsia" w:ascii="仿宋" w:hAnsi="仿宋" w:eastAsia="仿宋" w:cs="仿宋"/>
          <w:color w:val="000000" w:themeColor="text1"/>
          <w:sz w:val="32"/>
          <w:szCs w:val="32"/>
          <w14:textFill>
            <w14:solidFill>
              <w14:schemeClr w14:val="tx1"/>
            </w14:solidFill>
          </w14:textFill>
        </w:rPr>
        <w:t>。</w:t>
      </w:r>
    </w:p>
    <w:p w14:paraId="12E72734">
      <w:pPr>
        <w:keepNext w:val="0"/>
        <w:keepLines w:val="0"/>
        <w:pageBreakBefore w:val="0"/>
        <w:widowControl/>
        <w:kinsoku/>
        <w:wordWrap/>
        <w:overflowPunct/>
        <w:topLinePunct w:val="0"/>
        <w:autoSpaceDE/>
        <w:autoSpaceDN/>
        <w:bidi w:val="0"/>
        <w:adjustRightInd/>
        <w:snapToGrid/>
        <w:jc w:val="center"/>
        <w:rPr>
          <w:rFonts w:ascii="仿宋_GB2312" w:hAnsi="仿宋_GB2312" w:eastAsia="仿宋_GB2312" w:cs="仿宋_GB2312"/>
          <w:b/>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kern w:val="0"/>
          <w:sz w:val="28"/>
          <w:szCs w:val="28"/>
          <w14:textFill>
            <w14:solidFill>
              <w14:schemeClr w14:val="tx1"/>
            </w14:solidFill>
          </w14:textFill>
        </w:rPr>
        <w:t>202</w:t>
      </w:r>
      <w:r>
        <w:rPr>
          <w:rFonts w:hint="eastAsia" w:ascii="黑体" w:hAnsi="黑体" w:eastAsia="黑体" w:cs="黑体"/>
          <w:b w:val="0"/>
          <w:bCs/>
          <w:color w:val="000000" w:themeColor="text1"/>
          <w:kern w:val="0"/>
          <w:sz w:val="28"/>
          <w:szCs w:val="28"/>
          <w:lang w:val="en-US" w:eastAsia="zh-CN"/>
          <w14:textFill>
            <w14:solidFill>
              <w14:schemeClr w14:val="tx1"/>
            </w14:solidFill>
          </w14:textFill>
        </w:rPr>
        <w:t>3</w:t>
      </w:r>
      <w:r>
        <w:rPr>
          <w:rFonts w:hint="eastAsia" w:ascii="黑体" w:hAnsi="黑体" w:eastAsia="黑体" w:cs="黑体"/>
          <w:b w:val="0"/>
          <w:bCs/>
          <w:color w:val="000000" w:themeColor="text1"/>
          <w:kern w:val="0"/>
          <w:sz w:val="28"/>
          <w:szCs w:val="28"/>
          <w14:textFill>
            <w14:solidFill>
              <w14:schemeClr w14:val="tx1"/>
            </w14:solidFill>
          </w14:textFill>
        </w:rPr>
        <w:t>年与20</w:t>
      </w:r>
      <w:r>
        <w:rPr>
          <w:rFonts w:hint="eastAsia" w:ascii="黑体" w:hAnsi="黑体" w:eastAsia="黑体" w:cs="黑体"/>
          <w:b w:val="0"/>
          <w:bCs/>
          <w:color w:val="000000" w:themeColor="text1"/>
          <w:kern w:val="0"/>
          <w:sz w:val="28"/>
          <w:szCs w:val="28"/>
          <w:lang w:val="en-US" w:eastAsia="zh-CN"/>
          <w14:textFill>
            <w14:solidFill>
              <w14:schemeClr w14:val="tx1"/>
            </w14:solidFill>
          </w14:textFill>
        </w:rPr>
        <w:t>22</w:t>
      </w:r>
      <w:r>
        <w:rPr>
          <w:rFonts w:hint="eastAsia" w:ascii="黑体" w:hAnsi="黑体" w:eastAsia="黑体" w:cs="黑体"/>
          <w:b w:val="0"/>
          <w:bCs/>
          <w:color w:val="000000" w:themeColor="text1"/>
          <w:kern w:val="0"/>
          <w:sz w:val="28"/>
          <w:szCs w:val="28"/>
          <w14:textFill>
            <w14:solidFill>
              <w14:schemeClr w14:val="tx1"/>
            </w14:solidFill>
          </w14:textFill>
        </w:rPr>
        <w:t>年教师队伍相比变化情况</w:t>
      </w:r>
    </w:p>
    <w:tbl>
      <w:tblPr>
        <w:tblStyle w:val="6"/>
        <w:tblW w:w="84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5"/>
        <w:gridCol w:w="1159"/>
        <w:gridCol w:w="1331"/>
        <w:gridCol w:w="1215"/>
        <w:gridCol w:w="1395"/>
        <w:gridCol w:w="1451"/>
      </w:tblGrid>
      <w:tr w14:paraId="784F1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1875"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BA576C1">
            <w:pPr>
              <w:keepNext w:val="0"/>
              <w:keepLines w:val="0"/>
              <w:pageBreakBefore w:val="0"/>
              <w:widowControl/>
              <w:kinsoku/>
              <w:wordWrap/>
              <w:overflowPunct/>
              <w:topLinePunct w:val="0"/>
              <w:autoSpaceDE/>
              <w:autoSpaceDN/>
              <w:bidi w:val="0"/>
              <w:adjustRightInd/>
              <w:snapToGrid/>
              <w:jc w:val="center"/>
              <w:rPr>
                <w:rFonts w:ascii="仿宋_GB2312" w:hAnsi="仿宋_GB2312" w:eastAsia="仿宋_GB2312" w:cs="仿宋_GB2312"/>
                <w:b/>
                <w:color w:val="000000" w:themeColor="text1"/>
                <w:kern w:val="0"/>
                <w:sz w:val="24"/>
                <w:szCs w:val="24"/>
                <w14:textFill>
                  <w14:solidFill>
                    <w14:schemeClr w14:val="tx1"/>
                  </w14:solidFill>
                </w14:textFill>
              </w:rPr>
            </w:pPr>
            <w:r>
              <w:rPr>
                <w:rFonts w:ascii="仿宋_GB2312" w:hAnsi="仿宋_GB2312" w:eastAsia="仿宋_GB2312" w:cs="仿宋_GB2312"/>
                <w:b/>
                <w:color w:val="000000" w:themeColor="text1"/>
                <w:kern w:val="0"/>
                <w:sz w:val="24"/>
                <w:szCs w:val="24"/>
                <w14:textFill>
                  <w14:solidFill>
                    <w14:schemeClr w14:val="tx1"/>
                  </w14:solidFill>
                </w14:textFill>
              </w:rPr>
              <w:t>年度</w:t>
            </w:r>
          </w:p>
        </w:tc>
        <w:tc>
          <w:tcPr>
            <w:tcW w:w="2490"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B86DD65">
            <w:pPr>
              <w:keepNext w:val="0"/>
              <w:keepLines w:val="0"/>
              <w:pageBreakBefore w:val="0"/>
              <w:widowControl/>
              <w:kinsoku/>
              <w:wordWrap/>
              <w:overflowPunct/>
              <w:topLinePunct w:val="0"/>
              <w:autoSpaceDE/>
              <w:autoSpaceDN/>
              <w:bidi w:val="0"/>
              <w:adjustRightInd/>
              <w:snapToGrid/>
              <w:jc w:val="center"/>
              <w:rPr>
                <w:rFonts w:hint="default" w:ascii="仿宋_GB2312" w:hAnsi="仿宋_GB2312" w:eastAsia="仿宋_GB2312" w:cs="仿宋_GB2312"/>
                <w:b/>
                <w:color w:val="000000" w:themeColor="text1"/>
                <w:kern w:val="0"/>
                <w:sz w:val="24"/>
                <w:szCs w:val="24"/>
                <w:lang w:val="en-US" w:eastAsia="zh-CN"/>
                <w14:textFill>
                  <w14:solidFill>
                    <w14:schemeClr w14:val="tx1"/>
                  </w14:solidFill>
                </w14:textFill>
              </w:rPr>
            </w:pPr>
            <w:r>
              <w:rPr>
                <w:rFonts w:ascii="仿宋_GB2312" w:hAnsi="仿宋_GB2312" w:eastAsia="仿宋_GB2312" w:cs="仿宋_GB2312"/>
                <w:b/>
                <w:color w:val="000000" w:themeColor="text1"/>
                <w:kern w:val="0"/>
                <w:sz w:val="24"/>
                <w:szCs w:val="24"/>
                <w14:textFill>
                  <w14:solidFill>
                    <w14:schemeClr w14:val="tx1"/>
                  </w14:solidFill>
                </w14:textFill>
              </w:rPr>
              <w:t>20</w:t>
            </w:r>
            <w:r>
              <w:rPr>
                <w:rFonts w:hint="eastAsia" w:ascii="仿宋_GB2312" w:hAnsi="仿宋_GB2312" w:eastAsia="仿宋_GB2312" w:cs="仿宋_GB2312"/>
                <w:b/>
                <w:color w:val="000000" w:themeColor="text1"/>
                <w:kern w:val="0"/>
                <w:sz w:val="24"/>
                <w:szCs w:val="24"/>
                <w:lang w:val="en-US" w:eastAsia="zh-CN"/>
                <w14:textFill>
                  <w14:solidFill>
                    <w14:schemeClr w14:val="tx1"/>
                  </w14:solidFill>
                </w14:textFill>
              </w:rPr>
              <w:t>22</w:t>
            </w:r>
          </w:p>
        </w:tc>
        <w:tc>
          <w:tcPr>
            <w:tcW w:w="2610"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07E5F60">
            <w:pPr>
              <w:keepNext w:val="0"/>
              <w:keepLines w:val="0"/>
              <w:pageBreakBefore w:val="0"/>
              <w:widowControl/>
              <w:kinsoku/>
              <w:wordWrap/>
              <w:overflowPunct/>
              <w:topLinePunct w:val="0"/>
              <w:autoSpaceDE/>
              <w:autoSpaceDN/>
              <w:bidi w:val="0"/>
              <w:adjustRightInd/>
              <w:snapToGrid/>
              <w:jc w:val="center"/>
              <w:rPr>
                <w:rFonts w:hint="default" w:ascii="仿宋_GB2312" w:hAnsi="仿宋_GB2312" w:eastAsia="仿宋_GB2312" w:cs="仿宋_GB2312"/>
                <w:b/>
                <w:color w:val="000000" w:themeColor="text1"/>
                <w:kern w:val="0"/>
                <w:sz w:val="24"/>
                <w:szCs w:val="24"/>
                <w:lang w:val="en-US" w:eastAsia="zh-CN"/>
                <w14:textFill>
                  <w14:solidFill>
                    <w14:schemeClr w14:val="tx1"/>
                  </w14:solidFill>
                </w14:textFill>
              </w:rPr>
            </w:pPr>
            <w:r>
              <w:rPr>
                <w:rFonts w:ascii="仿宋_GB2312" w:hAnsi="仿宋_GB2312" w:eastAsia="仿宋_GB2312" w:cs="仿宋_GB2312"/>
                <w:b/>
                <w:color w:val="000000" w:themeColor="text1"/>
                <w:kern w:val="0"/>
                <w:sz w:val="24"/>
                <w:szCs w:val="24"/>
                <w14:textFill>
                  <w14:solidFill>
                    <w14:schemeClr w14:val="tx1"/>
                  </w14:solidFill>
                </w14:textFill>
              </w:rPr>
              <w:t>20</w:t>
            </w:r>
            <w:r>
              <w:rPr>
                <w:rFonts w:hint="eastAsia" w:ascii="仿宋_GB2312" w:hAnsi="仿宋_GB2312" w:eastAsia="仿宋_GB2312" w:cs="仿宋_GB2312"/>
                <w:b/>
                <w:color w:val="000000" w:themeColor="text1"/>
                <w:kern w:val="0"/>
                <w:sz w:val="24"/>
                <w:szCs w:val="24"/>
                <w:lang w:val="en-US" w:eastAsia="zh-CN"/>
                <w14:textFill>
                  <w14:solidFill>
                    <w14:schemeClr w14:val="tx1"/>
                  </w14:solidFill>
                </w14:textFill>
              </w:rPr>
              <w:t>23</w:t>
            </w:r>
          </w:p>
        </w:tc>
        <w:tc>
          <w:tcPr>
            <w:tcW w:w="1451"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D3C7D2B">
            <w:pPr>
              <w:keepNext w:val="0"/>
              <w:keepLines w:val="0"/>
              <w:pageBreakBefore w:val="0"/>
              <w:widowControl/>
              <w:kinsoku/>
              <w:wordWrap/>
              <w:overflowPunct/>
              <w:topLinePunct w:val="0"/>
              <w:autoSpaceDE/>
              <w:autoSpaceDN/>
              <w:bidi w:val="0"/>
              <w:adjustRightInd/>
              <w:snapToGrid/>
              <w:jc w:val="center"/>
              <w:rPr>
                <w:rFonts w:ascii="仿宋_GB2312" w:hAnsi="仿宋_GB2312" w:eastAsia="仿宋_GB2312" w:cs="仿宋_GB2312"/>
                <w:b/>
                <w:color w:val="000000" w:themeColor="text1"/>
                <w:kern w:val="0"/>
                <w:sz w:val="24"/>
                <w:szCs w:val="24"/>
                <w14:textFill>
                  <w14:solidFill>
                    <w14:schemeClr w14:val="tx1"/>
                  </w14:solidFill>
                </w14:textFill>
              </w:rPr>
            </w:pPr>
            <w:r>
              <w:rPr>
                <w:rFonts w:ascii="仿宋_GB2312" w:hAnsi="仿宋_GB2312" w:eastAsia="仿宋_GB2312" w:cs="仿宋_GB2312"/>
                <w:b/>
                <w:color w:val="000000" w:themeColor="text1"/>
                <w:kern w:val="0"/>
                <w:sz w:val="24"/>
                <w:szCs w:val="24"/>
                <w14:textFill>
                  <w14:solidFill>
                    <w14:schemeClr w14:val="tx1"/>
                  </w14:solidFill>
                </w14:textFill>
              </w:rPr>
              <w:t>变化</w:t>
            </w:r>
          </w:p>
          <w:p w14:paraId="7BB8B2E7">
            <w:pPr>
              <w:keepNext w:val="0"/>
              <w:keepLines w:val="0"/>
              <w:pageBreakBefore w:val="0"/>
              <w:widowControl/>
              <w:kinsoku/>
              <w:wordWrap/>
              <w:overflowPunct/>
              <w:topLinePunct w:val="0"/>
              <w:autoSpaceDE/>
              <w:autoSpaceDN/>
              <w:bidi w:val="0"/>
              <w:adjustRightInd/>
              <w:snapToGrid/>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b/>
                <w:color w:val="000000" w:themeColor="text1"/>
                <w:kern w:val="0"/>
                <w:sz w:val="24"/>
                <w:szCs w:val="24"/>
                <w14:textFill>
                  <w14:solidFill>
                    <w14:schemeClr w14:val="tx1"/>
                  </w14:solidFill>
                </w14:textFill>
              </w:rPr>
              <w:t>情况</w:t>
            </w:r>
          </w:p>
        </w:tc>
      </w:tr>
      <w:tr w14:paraId="0801F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9" w:hRule="atLeast"/>
          <w:jc w:val="center"/>
        </w:trPr>
        <w:tc>
          <w:tcPr>
            <w:tcW w:w="1875" w:type="dxa"/>
            <w:vMerge w:val="continue"/>
            <w:tcBorders>
              <w:top w:val="single" w:color="auto" w:sz="4" w:space="0"/>
              <w:left w:val="single" w:color="auto" w:sz="4" w:space="0"/>
              <w:bottom w:val="single" w:color="auto" w:sz="4" w:space="0"/>
              <w:right w:val="single" w:color="auto" w:sz="4" w:space="0"/>
            </w:tcBorders>
            <w:vAlign w:val="center"/>
          </w:tcPr>
          <w:p w14:paraId="0A9D0EFF">
            <w:pPr>
              <w:keepNext w:val="0"/>
              <w:keepLines w:val="0"/>
              <w:pageBreakBefore w:val="0"/>
              <w:widowControl/>
              <w:kinsoku/>
              <w:wordWrap/>
              <w:overflowPunct/>
              <w:topLinePunct w:val="0"/>
              <w:autoSpaceDE/>
              <w:autoSpaceDN/>
              <w:bidi w:val="0"/>
              <w:adjustRightInd/>
              <w:snapToGrid/>
              <w:rPr>
                <w:color w:val="000000" w:themeColor="text1"/>
                <w:kern w:val="0"/>
                <w:szCs w:val="2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AADC6BA">
            <w:pPr>
              <w:keepNext w:val="0"/>
              <w:keepLines w:val="0"/>
              <w:pageBreakBefore w:val="0"/>
              <w:widowControl/>
              <w:kinsoku/>
              <w:wordWrap/>
              <w:overflowPunct/>
              <w:topLinePunct w:val="0"/>
              <w:autoSpaceDE/>
              <w:autoSpaceDN/>
              <w:bidi w:val="0"/>
              <w:adjustRightInd/>
              <w:snapToGrid/>
              <w:jc w:val="center"/>
              <w:rPr>
                <w:rFonts w:ascii="仿宋_GB2312" w:hAnsi="仿宋_GB2312" w:eastAsia="仿宋_GB2312" w:cs="仿宋_GB2312"/>
                <w:b/>
                <w:color w:val="000000" w:themeColor="text1"/>
                <w:kern w:val="0"/>
                <w:sz w:val="24"/>
                <w:szCs w:val="24"/>
                <w14:textFill>
                  <w14:solidFill>
                    <w14:schemeClr w14:val="tx1"/>
                  </w14:solidFill>
                </w14:textFill>
              </w:rPr>
            </w:pPr>
            <w:r>
              <w:rPr>
                <w:rFonts w:ascii="仿宋_GB2312" w:hAnsi="仿宋_GB2312" w:eastAsia="仿宋_GB2312" w:cs="仿宋_GB2312"/>
                <w:b/>
                <w:color w:val="000000" w:themeColor="text1"/>
                <w:kern w:val="0"/>
                <w:sz w:val="24"/>
                <w:szCs w:val="24"/>
                <w14:textFill>
                  <w14:solidFill>
                    <w14:schemeClr w14:val="tx1"/>
                  </w14:solidFill>
                </w14:textFill>
              </w:rPr>
              <w:t>数量</w:t>
            </w:r>
          </w:p>
        </w:tc>
        <w:tc>
          <w:tcPr>
            <w:tcW w:w="133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1203049">
            <w:pPr>
              <w:keepNext w:val="0"/>
              <w:keepLines w:val="0"/>
              <w:pageBreakBefore w:val="0"/>
              <w:widowControl/>
              <w:kinsoku/>
              <w:wordWrap/>
              <w:overflowPunct/>
              <w:topLinePunct w:val="0"/>
              <w:autoSpaceDE/>
              <w:autoSpaceDN/>
              <w:bidi w:val="0"/>
              <w:adjustRightInd/>
              <w:snapToGrid/>
              <w:jc w:val="center"/>
              <w:rPr>
                <w:rFonts w:ascii="仿宋_GB2312" w:hAnsi="仿宋_GB2312" w:eastAsia="仿宋_GB2312" w:cs="仿宋_GB2312"/>
                <w:b/>
                <w:color w:val="000000" w:themeColor="text1"/>
                <w:kern w:val="0"/>
                <w:sz w:val="24"/>
                <w:szCs w:val="24"/>
                <w14:textFill>
                  <w14:solidFill>
                    <w14:schemeClr w14:val="tx1"/>
                  </w14:solidFill>
                </w14:textFill>
              </w:rPr>
            </w:pPr>
            <w:r>
              <w:rPr>
                <w:rFonts w:ascii="仿宋_GB2312" w:hAnsi="仿宋_GB2312" w:eastAsia="仿宋_GB2312" w:cs="仿宋_GB2312"/>
                <w:b/>
                <w:color w:val="000000" w:themeColor="text1"/>
                <w:kern w:val="0"/>
                <w:sz w:val="24"/>
                <w:szCs w:val="24"/>
                <w14:textFill>
                  <w14:solidFill>
                    <w14:schemeClr w14:val="tx1"/>
                  </w14:solidFill>
                </w14:textFill>
              </w:rPr>
              <w:t>占比</w:t>
            </w:r>
          </w:p>
        </w:tc>
        <w:tc>
          <w:tcPr>
            <w:tcW w:w="121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4A7B4CA">
            <w:pPr>
              <w:keepNext w:val="0"/>
              <w:keepLines w:val="0"/>
              <w:pageBreakBefore w:val="0"/>
              <w:widowControl/>
              <w:kinsoku/>
              <w:wordWrap/>
              <w:overflowPunct/>
              <w:topLinePunct w:val="0"/>
              <w:autoSpaceDE/>
              <w:autoSpaceDN/>
              <w:bidi w:val="0"/>
              <w:adjustRightInd/>
              <w:snapToGrid/>
              <w:jc w:val="center"/>
              <w:rPr>
                <w:rFonts w:ascii="仿宋_GB2312" w:hAnsi="仿宋_GB2312" w:eastAsia="仿宋_GB2312" w:cs="仿宋_GB2312"/>
                <w:b/>
                <w:color w:val="000000" w:themeColor="text1"/>
                <w:kern w:val="0"/>
                <w:sz w:val="24"/>
                <w:szCs w:val="24"/>
                <w14:textFill>
                  <w14:solidFill>
                    <w14:schemeClr w14:val="tx1"/>
                  </w14:solidFill>
                </w14:textFill>
              </w:rPr>
            </w:pPr>
            <w:r>
              <w:rPr>
                <w:rFonts w:ascii="仿宋_GB2312" w:hAnsi="仿宋_GB2312" w:eastAsia="仿宋_GB2312" w:cs="仿宋_GB2312"/>
                <w:b/>
                <w:color w:val="000000" w:themeColor="text1"/>
                <w:kern w:val="0"/>
                <w:sz w:val="24"/>
                <w:szCs w:val="24"/>
                <w14:textFill>
                  <w14:solidFill>
                    <w14:schemeClr w14:val="tx1"/>
                  </w14:solidFill>
                </w14:textFill>
              </w:rPr>
              <w:t>数量</w:t>
            </w:r>
          </w:p>
        </w:tc>
        <w:tc>
          <w:tcPr>
            <w:tcW w:w="139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EDA4E6D">
            <w:pPr>
              <w:keepNext w:val="0"/>
              <w:keepLines w:val="0"/>
              <w:pageBreakBefore w:val="0"/>
              <w:widowControl/>
              <w:kinsoku/>
              <w:wordWrap/>
              <w:overflowPunct/>
              <w:topLinePunct w:val="0"/>
              <w:autoSpaceDE/>
              <w:autoSpaceDN/>
              <w:bidi w:val="0"/>
              <w:adjustRightInd/>
              <w:snapToGrid/>
              <w:jc w:val="center"/>
              <w:rPr>
                <w:rFonts w:ascii="仿宋_GB2312" w:hAnsi="仿宋_GB2312" w:eastAsia="仿宋_GB2312" w:cs="仿宋_GB2312"/>
                <w:b/>
                <w:color w:val="000000" w:themeColor="text1"/>
                <w:kern w:val="0"/>
                <w:sz w:val="24"/>
                <w:szCs w:val="24"/>
                <w14:textFill>
                  <w14:solidFill>
                    <w14:schemeClr w14:val="tx1"/>
                  </w14:solidFill>
                </w14:textFill>
              </w:rPr>
            </w:pPr>
            <w:r>
              <w:rPr>
                <w:rFonts w:ascii="仿宋_GB2312" w:hAnsi="仿宋_GB2312" w:eastAsia="仿宋_GB2312" w:cs="仿宋_GB2312"/>
                <w:b/>
                <w:color w:val="000000" w:themeColor="text1"/>
                <w:kern w:val="0"/>
                <w:sz w:val="24"/>
                <w:szCs w:val="24"/>
                <w14:textFill>
                  <w14:solidFill>
                    <w14:schemeClr w14:val="tx1"/>
                  </w14:solidFill>
                </w14:textFill>
              </w:rPr>
              <w:t>占比</w:t>
            </w:r>
          </w:p>
        </w:tc>
        <w:tc>
          <w:tcPr>
            <w:tcW w:w="1451" w:type="dxa"/>
            <w:vMerge w:val="continue"/>
            <w:tcBorders>
              <w:top w:val="single" w:color="auto" w:sz="4" w:space="0"/>
              <w:left w:val="single" w:color="auto" w:sz="4" w:space="0"/>
              <w:bottom w:val="single" w:color="auto" w:sz="4" w:space="0"/>
              <w:right w:val="single" w:color="auto" w:sz="4" w:space="0"/>
            </w:tcBorders>
            <w:vAlign w:val="center"/>
          </w:tcPr>
          <w:p w14:paraId="4C5EE36D">
            <w:pPr>
              <w:keepNext w:val="0"/>
              <w:keepLines w:val="0"/>
              <w:pageBreakBefore w:val="0"/>
              <w:widowControl/>
              <w:kinsoku/>
              <w:wordWrap/>
              <w:overflowPunct/>
              <w:topLinePunct w:val="0"/>
              <w:autoSpaceDE/>
              <w:autoSpaceDN/>
              <w:bidi w:val="0"/>
              <w:adjustRightInd/>
              <w:snapToGrid/>
              <w:rPr>
                <w:color w:val="000000" w:themeColor="text1"/>
                <w:kern w:val="0"/>
                <w:szCs w:val="21"/>
                <w14:textFill>
                  <w14:solidFill>
                    <w14:schemeClr w14:val="tx1"/>
                  </w14:solidFill>
                </w14:textFill>
              </w:rPr>
            </w:pPr>
          </w:p>
        </w:tc>
      </w:tr>
      <w:tr w14:paraId="3B649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8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8D38C82">
            <w:pPr>
              <w:keepNext w:val="0"/>
              <w:keepLines w:val="0"/>
              <w:pageBreakBefore w:val="0"/>
              <w:widowControl/>
              <w:kinsoku/>
              <w:wordWrap/>
              <w:overflowPunct/>
              <w:topLinePunct w:val="0"/>
              <w:autoSpaceDE/>
              <w:autoSpaceDN/>
              <w:bidi w:val="0"/>
              <w:adjustRightInd/>
              <w:snapToGrid/>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4"/>
                <w:szCs w:val="24"/>
                <w14:textFill>
                  <w14:solidFill>
                    <w14:schemeClr w14:val="tx1"/>
                  </w14:solidFill>
                </w14:textFill>
              </w:rPr>
              <w:t>师生比</w:t>
            </w:r>
          </w:p>
        </w:tc>
        <w:tc>
          <w:tcPr>
            <w:tcW w:w="115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56F590E">
            <w:pPr>
              <w:keepNext w:val="0"/>
              <w:keepLines w:val="0"/>
              <w:pageBreakBefore w:val="0"/>
              <w:widowControl/>
              <w:kinsoku/>
              <w:wordWrap/>
              <w:overflowPunct/>
              <w:topLinePunct w:val="0"/>
              <w:autoSpaceDE/>
              <w:autoSpaceDN/>
              <w:bidi w:val="0"/>
              <w:adjustRightInd/>
              <w:snapToGrid/>
              <w:jc w:val="center"/>
              <w:rPr>
                <w:rFonts w:hint="default" w:ascii="仿宋_GB2312" w:hAnsi="仿宋_GB2312" w:eastAsia="仿宋_GB2312" w:cs="仿宋_GB2312"/>
                <w:color w:val="000000" w:themeColor="text1"/>
                <w:kern w:val="0"/>
                <w:sz w:val="24"/>
                <w:szCs w:val="24"/>
                <w:lang w:val="en-US"/>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102</w:t>
            </w:r>
          </w:p>
        </w:tc>
        <w:tc>
          <w:tcPr>
            <w:tcW w:w="133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7F4AED4">
            <w:pPr>
              <w:keepNext w:val="0"/>
              <w:keepLines w:val="0"/>
              <w:pageBreakBefore w:val="0"/>
              <w:widowControl/>
              <w:kinsoku/>
              <w:wordWrap/>
              <w:overflowPunct/>
              <w:topLinePunct w:val="0"/>
              <w:autoSpaceDE/>
              <w:autoSpaceDN/>
              <w:bidi w:val="0"/>
              <w:adjustRightInd/>
              <w:snapToGrid/>
              <w:jc w:val="center"/>
              <w:rPr>
                <w:rFonts w:hint="default" w:ascii="仿宋_GB2312" w:hAnsi="仿宋_GB2312" w:eastAsia="仿宋_GB2312" w:cs="仿宋_GB2312"/>
                <w:color w:val="000000" w:themeColor="text1"/>
                <w:kern w:val="0"/>
                <w:sz w:val="24"/>
                <w:szCs w:val="24"/>
                <w:lang w:val="en-US"/>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8:1</w:t>
            </w:r>
          </w:p>
        </w:tc>
        <w:tc>
          <w:tcPr>
            <w:tcW w:w="121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A5A40A4">
            <w:pPr>
              <w:keepNext w:val="0"/>
              <w:keepLines w:val="0"/>
              <w:pageBreakBefore w:val="0"/>
              <w:widowControl/>
              <w:kinsoku/>
              <w:wordWrap/>
              <w:overflowPunct/>
              <w:topLinePunct w:val="0"/>
              <w:autoSpaceDE/>
              <w:autoSpaceDN/>
              <w:bidi w:val="0"/>
              <w:adjustRightInd/>
              <w:snapToGrid/>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99</w:t>
            </w:r>
          </w:p>
        </w:tc>
        <w:tc>
          <w:tcPr>
            <w:tcW w:w="139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CA5D56B">
            <w:pPr>
              <w:keepNext w:val="0"/>
              <w:keepLines w:val="0"/>
              <w:pageBreakBefore w:val="0"/>
              <w:widowControl/>
              <w:kinsoku/>
              <w:wordWrap/>
              <w:overflowPunct/>
              <w:topLinePunct w:val="0"/>
              <w:autoSpaceDE/>
              <w:autoSpaceDN/>
              <w:bidi w:val="0"/>
              <w:adjustRightInd/>
              <w:snapToGrid/>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6.9:1</w:t>
            </w:r>
          </w:p>
        </w:tc>
        <w:tc>
          <w:tcPr>
            <w:tcW w:w="14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C49BD49">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提高</w:t>
            </w:r>
          </w:p>
        </w:tc>
      </w:tr>
      <w:tr w14:paraId="486FF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8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7C213B9">
            <w:pPr>
              <w:keepNext w:val="0"/>
              <w:keepLines w:val="0"/>
              <w:pageBreakBefore w:val="0"/>
              <w:widowControl/>
              <w:kinsoku/>
              <w:wordWrap/>
              <w:overflowPunct/>
              <w:topLinePunct w:val="0"/>
              <w:autoSpaceDE/>
              <w:autoSpaceDN/>
              <w:bidi w:val="0"/>
              <w:adjustRightInd/>
              <w:snapToGrid/>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4"/>
                <w:szCs w:val="24"/>
                <w14:textFill>
                  <w14:solidFill>
                    <w14:schemeClr w14:val="tx1"/>
                  </w14:solidFill>
                </w14:textFill>
              </w:rPr>
              <w:t>双师型比</w:t>
            </w:r>
          </w:p>
        </w:tc>
        <w:tc>
          <w:tcPr>
            <w:tcW w:w="115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EC8B6A7">
            <w:pPr>
              <w:keepNext w:val="0"/>
              <w:keepLines w:val="0"/>
              <w:pageBreakBefore w:val="0"/>
              <w:widowControl/>
              <w:kinsoku/>
              <w:wordWrap/>
              <w:overflowPunct/>
              <w:topLinePunct w:val="0"/>
              <w:autoSpaceDE/>
              <w:autoSpaceDN/>
              <w:bidi w:val="0"/>
              <w:adjustRightInd/>
              <w:snapToGrid/>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38</w:t>
            </w:r>
          </w:p>
        </w:tc>
        <w:tc>
          <w:tcPr>
            <w:tcW w:w="133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A14E9B1">
            <w:pPr>
              <w:keepNext w:val="0"/>
              <w:keepLines w:val="0"/>
              <w:pageBreakBefore w:val="0"/>
              <w:widowControl/>
              <w:kinsoku/>
              <w:wordWrap/>
              <w:overflowPunct/>
              <w:topLinePunct w:val="0"/>
              <w:autoSpaceDE/>
              <w:autoSpaceDN/>
              <w:bidi w:val="0"/>
              <w:adjustRightInd/>
              <w:snapToGrid/>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41.3%</w:t>
            </w:r>
          </w:p>
        </w:tc>
        <w:tc>
          <w:tcPr>
            <w:tcW w:w="121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C2AC6E7">
            <w:pPr>
              <w:keepNext w:val="0"/>
              <w:keepLines w:val="0"/>
              <w:pageBreakBefore w:val="0"/>
              <w:widowControl/>
              <w:kinsoku/>
              <w:wordWrap/>
              <w:overflowPunct/>
              <w:topLinePunct w:val="0"/>
              <w:autoSpaceDE/>
              <w:autoSpaceDN/>
              <w:bidi w:val="0"/>
              <w:adjustRightInd/>
              <w:snapToGrid/>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38</w:t>
            </w:r>
          </w:p>
        </w:tc>
        <w:tc>
          <w:tcPr>
            <w:tcW w:w="139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2B4254C">
            <w:pPr>
              <w:keepNext w:val="0"/>
              <w:keepLines w:val="0"/>
              <w:pageBreakBefore w:val="0"/>
              <w:widowControl/>
              <w:kinsoku/>
              <w:wordWrap/>
              <w:overflowPunct/>
              <w:topLinePunct w:val="0"/>
              <w:autoSpaceDE/>
              <w:autoSpaceDN/>
              <w:bidi w:val="0"/>
              <w:adjustRightInd/>
              <w:snapToGrid/>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41.3%</w:t>
            </w:r>
          </w:p>
        </w:tc>
        <w:tc>
          <w:tcPr>
            <w:tcW w:w="14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31EF04D">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持平</w:t>
            </w:r>
          </w:p>
        </w:tc>
      </w:tr>
      <w:tr w14:paraId="28A47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8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012B94E">
            <w:pPr>
              <w:keepNext w:val="0"/>
              <w:keepLines w:val="0"/>
              <w:pageBreakBefore w:val="0"/>
              <w:widowControl/>
              <w:kinsoku/>
              <w:wordWrap/>
              <w:overflowPunct/>
              <w:topLinePunct w:val="0"/>
              <w:autoSpaceDE/>
              <w:autoSpaceDN/>
              <w:bidi w:val="0"/>
              <w:adjustRightInd/>
              <w:snapToGrid/>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4"/>
                <w:szCs w:val="24"/>
                <w14:textFill>
                  <w14:solidFill>
                    <w14:schemeClr w14:val="tx1"/>
                  </w14:solidFill>
                </w14:textFill>
              </w:rPr>
              <w:t>专业教师</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本科以上学历</w:t>
            </w:r>
          </w:p>
        </w:tc>
        <w:tc>
          <w:tcPr>
            <w:tcW w:w="115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7C27121">
            <w:pPr>
              <w:keepNext w:val="0"/>
              <w:keepLines w:val="0"/>
              <w:pageBreakBefore w:val="0"/>
              <w:widowControl/>
              <w:kinsoku/>
              <w:wordWrap/>
              <w:overflowPunct/>
              <w:topLinePunct w:val="0"/>
              <w:autoSpaceDE/>
              <w:autoSpaceDN/>
              <w:bidi w:val="0"/>
              <w:adjustRightInd/>
              <w:snapToGrid/>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84</w:t>
            </w:r>
          </w:p>
        </w:tc>
        <w:tc>
          <w:tcPr>
            <w:tcW w:w="133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1F8AD1E">
            <w:pPr>
              <w:keepNext w:val="0"/>
              <w:keepLines w:val="0"/>
              <w:pageBreakBefore w:val="0"/>
              <w:widowControl/>
              <w:kinsoku/>
              <w:wordWrap/>
              <w:overflowPunct/>
              <w:topLinePunct w:val="0"/>
              <w:autoSpaceDE/>
              <w:autoSpaceDN/>
              <w:bidi w:val="0"/>
              <w:adjustRightInd/>
              <w:snapToGrid/>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91.3%</w:t>
            </w:r>
          </w:p>
        </w:tc>
        <w:tc>
          <w:tcPr>
            <w:tcW w:w="121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494ADC4">
            <w:pPr>
              <w:keepNext w:val="0"/>
              <w:keepLines w:val="0"/>
              <w:pageBreakBefore w:val="0"/>
              <w:widowControl/>
              <w:kinsoku/>
              <w:wordWrap/>
              <w:overflowPunct/>
              <w:topLinePunct w:val="0"/>
              <w:autoSpaceDE/>
              <w:autoSpaceDN/>
              <w:bidi w:val="0"/>
              <w:adjustRightInd/>
              <w:snapToGrid/>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84</w:t>
            </w:r>
          </w:p>
        </w:tc>
        <w:tc>
          <w:tcPr>
            <w:tcW w:w="139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91EF7B8">
            <w:pPr>
              <w:keepNext w:val="0"/>
              <w:keepLines w:val="0"/>
              <w:pageBreakBefore w:val="0"/>
              <w:widowControl/>
              <w:kinsoku/>
              <w:wordWrap/>
              <w:overflowPunct/>
              <w:topLinePunct w:val="0"/>
              <w:autoSpaceDE/>
              <w:autoSpaceDN/>
              <w:bidi w:val="0"/>
              <w:adjustRightInd/>
              <w:snapToGrid/>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84.8%</w:t>
            </w:r>
          </w:p>
        </w:tc>
        <w:tc>
          <w:tcPr>
            <w:tcW w:w="14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8E804D1">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持平</w:t>
            </w:r>
          </w:p>
        </w:tc>
      </w:tr>
      <w:tr w14:paraId="43DE3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8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82B4488">
            <w:pPr>
              <w:keepNext w:val="0"/>
              <w:keepLines w:val="0"/>
              <w:pageBreakBefore w:val="0"/>
              <w:widowControl/>
              <w:kinsoku/>
              <w:wordWrap/>
              <w:overflowPunct/>
              <w:topLinePunct w:val="0"/>
              <w:autoSpaceDE/>
              <w:autoSpaceDN/>
              <w:bidi w:val="0"/>
              <w:adjustRightInd/>
              <w:snapToGrid/>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4"/>
                <w:szCs w:val="24"/>
                <w14:textFill>
                  <w14:solidFill>
                    <w14:schemeClr w14:val="tx1"/>
                  </w14:solidFill>
                </w14:textFill>
              </w:rPr>
              <w:t>专任教师</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硕士</w:t>
            </w:r>
            <w:r>
              <w:rPr>
                <w:rFonts w:ascii="仿宋_GB2312" w:hAnsi="仿宋_GB2312" w:eastAsia="仿宋_GB2312" w:cs="仿宋_GB2312"/>
                <w:color w:val="000000" w:themeColor="text1"/>
                <w:kern w:val="0"/>
                <w:sz w:val="24"/>
                <w:szCs w:val="24"/>
                <w14:textFill>
                  <w14:solidFill>
                    <w14:schemeClr w14:val="tx1"/>
                  </w14:solidFill>
                </w14:textFill>
              </w:rPr>
              <w:t>以上学历</w:t>
            </w:r>
          </w:p>
        </w:tc>
        <w:tc>
          <w:tcPr>
            <w:tcW w:w="115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D9B1F53">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w:t>
            </w:r>
          </w:p>
        </w:tc>
        <w:tc>
          <w:tcPr>
            <w:tcW w:w="133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C26AD50">
            <w:pPr>
              <w:keepNext w:val="0"/>
              <w:keepLines w:val="0"/>
              <w:pageBreakBefore w:val="0"/>
              <w:widowControl/>
              <w:kinsoku/>
              <w:wordWrap/>
              <w:overflowPunct/>
              <w:topLinePunct w:val="0"/>
              <w:autoSpaceDE/>
              <w:autoSpaceDN/>
              <w:bidi w:val="0"/>
              <w:adjustRightInd/>
              <w:snapToGrid/>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6.52%</w:t>
            </w:r>
          </w:p>
        </w:tc>
        <w:tc>
          <w:tcPr>
            <w:tcW w:w="121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33B415E">
            <w:pPr>
              <w:keepNext w:val="0"/>
              <w:keepLines w:val="0"/>
              <w:pageBreakBefore w:val="0"/>
              <w:widowControl/>
              <w:kinsoku/>
              <w:wordWrap/>
              <w:overflowPunct/>
              <w:topLinePunct w:val="0"/>
              <w:autoSpaceDE/>
              <w:autoSpaceDN/>
              <w:bidi w:val="0"/>
              <w:adjustRightInd/>
              <w:snapToGrid/>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w:t>
            </w:r>
          </w:p>
        </w:tc>
        <w:tc>
          <w:tcPr>
            <w:tcW w:w="139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49E69F4">
            <w:pPr>
              <w:keepNext w:val="0"/>
              <w:keepLines w:val="0"/>
              <w:pageBreakBefore w:val="0"/>
              <w:widowControl/>
              <w:kinsoku/>
              <w:wordWrap/>
              <w:overflowPunct/>
              <w:topLinePunct w:val="0"/>
              <w:autoSpaceDE/>
              <w:autoSpaceDN/>
              <w:bidi w:val="0"/>
              <w:adjustRightInd/>
              <w:snapToGrid/>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6.52%</w:t>
            </w:r>
          </w:p>
        </w:tc>
        <w:tc>
          <w:tcPr>
            <w:tcW w:w="14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4D6554D">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持平</w:t>
            </w:r>
          </w:p>
        </w:tc>
      </w:tr>
      <w:tr w14:paraId="1B046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8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4786E61">
            <w:pPr>
              <w:keepNext w:val="0"/>
              <w:keepLines w:val="0"/>
              <w:pageBreakBefore w:val="0"/>
              <w:widowControl/>
              <w:kinsoku/>
              <w:wordWrap/>
              <w:overflowPunct/>
              <w:topLinePunct w:val="0"/>
              <w:autoSpaceDE/>
              <w:autoSpaceDN/>
              <w:bidi w:val="0"/>
              <w:adjustRightInd/>
              <w:snapToGrid/>
              <w:jc w:val="center"/>
              <w:rPr>
                <w:rFonts w:ascii="仿宋_GB2312" w:hAnsi="仿宋_GB2312" w:eastAsia="仿宋_GB2312" w:cs="仿宋_GB2312"/>
                <w:color w:val="000000" w:themeColor="text1"/>
                <w:kern w:val="0"/>
                <w:sz w:val="24"/>
                <w:szCs w:val="24"/>
                <w14:textFill>
                  <w14:solidFill>
                    <w14:schemeClr w14:val="tx1"/>
                  </w14:solidFill>
                </w14:textFill>
              </w:rPr>
            </w:pPr>
            <w:r>
              <w:rPr>
                <w:rFonts w:ascii="仿宋_GB2312" w:hAnsi="仿宋_GB2312" w:eastAsia="仿宋_GB2312" w:cs="仿宋_GB2312"/>
                <w:color w:val="000000" w:themeColor="text1"/>
                <w:kern w:val="0"/>
                <w:sz w:val="24"/>
                <w:szCs w:val="24"/>
                <w14:textFill>
                  <w14:solidFill>
                    <w14:schemeClr w14:val="tx1"/>
                  </w14:solidFill>
                </w14:textFill>
              </w:rPr>
              <w:t>专任教师</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高级职称教师</w:t>
            </w:r>
          </w:p>
        </w:tc>
        <w:tc>
          <w:tcPr>
            <w:tcW w:w="115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CD40660">
            <w:pPr>
              <w:keepNext w:val="0"/>
              <w:keepLines w:val="0"/>
              <w:pageBreakBefore w:val="0"/>
              <w:widowControl/>
              <w:kinsoku/>
              <w:wordWrap/>
              <w:overflowPunct/>
              <w:topLinePunct w:val="0"/>
              <w:autoSpaceDE/>
              <w:autoSpaceDN/>
              <w:bidi w:val="0"/>
              <w:adjustRightInd/>
              <w:snapToGrid/>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19</w:t>
            </w:r>
          </w:p>
        </w:tc>
        <w:tc>
          <w:tcPr>
            <w:tcW w:w="133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CA20F30">
            <w:pPr>
              <w:keepNext w:val="0"/>
              <w:keepLines w:val="0"/>
              <w:pageBreakBefore w:val="0"/>
              <w:widowControl/>
              <w:kinsoku/>
              <w:wordWrap/>
              <w:overflowPunct/>
              <w:topLinePunct w:val="0"/>
              <w:autoSpaceDE/>
              <w:autoSpaceDN/>
              <w:bidi w:val="0"/>
              <w:adjustRightInd/>
              <w:snapToGrid/>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20.7%</w:t>
            </w:r>
          </w:p>
        </w:tc>
        <w:tc>
          <w:tcPr>
            <w:tcW w:w="121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49F0126">
            <w:pPr>
              <w:keepNext w:val="0"/>
              <w:keepLines w:val="0"/>
              <w:pageBreakBefore w:val="0"/>
              <w:widowControl/>
              <w:kinsoku/>
              <w:wordWrap/>
              <w:overflowPunct/>
              <w:topLinePunct w:val="0"/>
              <w:autoSpaceDE/>
              <w:autoSpaceDN/>
              <w:bidi w:val="0"/>
              <w:adjustRightInd/>
              <w:snapToGrid/>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18</w:t>
            </w:r>
          </w:p>
        </w:tc>
        <w:tc>
          <w:tcPr>
            <w:tcW w:w="139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45E0464">
            <w:pPr>
              <w:keepNext w:val="0"/>
              <w:keepLines w:val="0"/>
              <w:pageBreakBefore w:val="0"/>
              <w:widowControl/>
              <w:kinsoku/>
              <w:wordWrap/>
              <w:overflowPunct/>
              <w:topLinePunct w:val="0"/>
              <w:autoSpaceDE/>
              <w:autoSpaceDN/>
              <w:bidi w:val="0"/>
              <w:adjustRightInd/>
              <w:snapToGrid/>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19.56%</w:t>
            </w:r>
          </w:p>
        </w:tc>
        <w:tc>
          <w:tcPr>
            <w:tcW w:w="14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16517A7">
            <w:pPr>
              <w:keepNext w:val="0"/>
              <w:keepLines w:val="0"/>
              <w:pageBreakBefore w:val="0"/>
              <w:widowControl/>
              <w:kinsoku/>
              <w:wordWrap/>
              <w:overflowPunct/>
              <w:topLinePunct w:val="0"/>
              <w:autoSpaceDE/>
              <w:autoSpaceDN/>
              <w:bidi w:val="0"/>
              <w:adjustRightInd/>
              <w:snapToGrid/>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降低</w:t>
            </w:r>
          </w:p>
        </w:tc>
      </w:tr>
    </w:tbl>
    <w:p w14:paraId="66F80880">
      <w:pPr>
        <w:pStyle w:val="11"/>
        <w:numPr>
          <w:ilvl w:val="0"/>
          <w:numId w:val="0"/>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1.5社会服务</w:t>
      </w:r>
    </w:p>
    <w:p w14:paraId="5CEE4256">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firstLine="640" w:firstLineChars="200"/>
        <w:rPr>
          <w:rStyle w:val="13"/>
          <w:rFonts w:hint="eastAsia" w:ascii="仿宋" w:hAnsi="仿宋" w:eastAsia="仿宋" w:cs="仿宋"/>
          <w:b w:val="0"/>
          <w:bCs/>
          <w:sz w:val="32"/>
          <w:szCs w:val="32"/>
        </w:rPr>
      </w:pPr>
      <w:r>
        <w:rPr>
          <w:rStyle w:val="13"/>
          <w:rFonts w:hint="eastAsia" w:ascii="仿宋" w:hAnsi="仿宋" w:eastAsia="仿宋" w:cs="仿宋"/>
          <w:b w:val="0"/>
          <w:bCs/>
          <w:sz w:val="32"/>
          <w:szCs w:val="32"/>
          <w:lang w:eastAsia="zh-CN"/>
        </w:rPr>
        <w:t>学</w:t>
      </w:r>
      <w:r>
        <w:rPr>
          <w:rStyle w:val="13"/>
          <w:rFonts w:hint="eastAsia" w:ascii="仿宋" w:hAnsi="仿宋" w:eastAsia="仿宋" w:cs="仿宋"/>
          <w:b w:val="0"/>
          <w:bCs/>
          <w:sz w:val="32"/>
          <w:szCs w:val="32"/>
        </w:rPr>
        <w:t>校无人机专业骨干教师和部分学生深入平陆县常乐镇</w:t>
      </w:r>
      <w:r>
        <w:rPr>
          <w:rStyle w:val="13"/>
          <w:rFonts w:hint="eastAsia" w:ascii="仿宋" w:hAnsi="仿宋" w:eastAsia="仿宋" w:cs="仿宋"/>
          <w:b w:val="0"/>
          <w:bCs/>
          <w:sz w:val="32"/>
          <w:szCs w:val="32"/>
          <w:lang w:eastAsia="zh-CN"/>
        </w:rPr>
        <w:t>、</w:t>
      </w:r>
      <w:r>
        <w:rPr>
          <w:rStyle w:val="13"/>
          <w:rFonts w:hint="eastAsia" w:ascii="仿宋" w:hAnsi="仿宋" w:eastAsia="仿宋" w:cs="仿宋"/>
          <w:b w:val="0"/>
          <w:bCs/>
          <w:sz w:val="32"/>
          <w:szCs w:val="32"/>
          <w:lang w:val="en-US" w:eastAsia="zh-CN"/>
        </w:rPr>
        <w:t>张店镇</w:t>
      </w:r>
      <w:r>
        <w:rPr>
          <w:rStyle w:val="13"/>
          <w:rFonts w:hint="eastAsia" w:ascii="仿宋" w:hAnsi="仿宋" w:eastAsia="仿宋" w:cs="仿宋"/>
          <w:b w:val="0"/>
          <w:bCs/>
          <w:sz w:val="32"/>
          <w:szCs w:val="32"/>
        </w:rPr>
        <w:t>开展无人机专业植保技术惠农服务；组织开展了</w:t>
      </w:r>
      <w:r>
        <w:rPr>
          <w:rStyle w:val="13"/>
          <w:rFonts w:hint="eastAsia" w:ascii="仿宋" w:hAnsi="仿宋" w:eastAsia="仿宋" w:cs="仿宋"/>
          <w:b w:val="0"/>
          <w:bCs/>
          <w:sz w:val="32"/>
          <w:szCs w:val="32"/>
          <w:lang w:eastAsia="zh-CN"/>
        </w:rPr>
        <w:t>“</w:t>
      </w:r>
      <w:r>
        <w:rPr>
          <w:rStyle w:val="13"/>
          <w:rFonts w:hint="eastAsia" w:ascii="仿宋" w:hAnsi="仿宋" w:eastAsia="仿宋" w:cs="仿宋"/>
          <w:b w:val="0"/>
          <w:bCs/>
          <w:sz w:val="32"/>
          <w:szCs w:val="32"/>
          <w:lang w:val="en-US" w:eastAsia="zh-CN"/>
        </w:rPr>
        <w:t>平陆县2024年职业教育活动周暨全面终身学习活动周</w:t>
      </w:r>
      <w:r>
        <w:rPr>
          <w:rStyle w:val="13"/>
          <w:rFonts w:hint="eastAsia" w:ascii="仿宋" w:hAnsi="仿宋" w:eastAsia="仿宋" w:cs="仿宋"/>
          <w:b w:val="0"/>
          <w:bCs/>
          <w:sz w:val="32"/>
          <w:szCs w:val="32"/>
          <w:lang w:eastAsia="zh-CN"/>
        </w:rPr>
        <w:t>”</w:t>
      </w:r>
      <w:r>
        <w:rPr>
          <w:rStyle w:val="13"/>
          <w:rFonts w:hint="eastAsia" w:ascii="仿宋" w:hAnsi="仿宋" w:eastAsia="仿宋" w:cs="仿宋"/>
          <w:b w:val="0"/>
          <w:bCs/>
          <w:sz w:val="32"/>
          <w:szCs w:val="32"/>
        </w:rPr>
        <w:t>系列活动，通过宣讲解读、志愿服务、技术惠农等活动，让广大群众更加深入地了解了职业教育和职业学校，提升了学生技术技能水平和服务意识，同时展示了职业教育的</w:t>
      </w:r>
      <w:r>
        <w:rPr>
          <w:rStyle w:val="13"/>
          <w:rFonts w:hint="eastAsia" w:ascii="仿宋" w:hAnsi="仿宋" w:eastAsia="仿宋" w:cs="仿宋"/>
          <w:b w:val="0"/>
          <w:bCs/>
          <w:sz w:val="32"/>
          <w:szCs w:val="32"/>
          <w:lang w:val="en-US" w:eastAsia="zh-CN"/>
        </w:rPr>
        <w:t>独特</w:t>
      </w:r>
      <w:r>
        <w:rPr>
          <w:rStyle w:val="13"/>
          <w:rFonts w:hint="eastAsia" w:ascii="仿宋" w:hAnsi="仿宋" w:eastAsia="仿宋" w:cs="仿宋"/>
          <w:b w:val="0"/>
          <w:bCs/>
          <w:sz w:val="32"/>
          <w:szCs w:val="32"/>
        </w:rPr>
        <w:t>魅力，提升了社会关注度和认可度，增强了社会职教力量的凝聚力。</w:t>
      </w:r>
    </w:p>
    <w:p w14:paraId="777F70B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120" w:firstLine="640" w:firstLineChars="200"/>
        <w:jc w:val="both"/>
        <w:rPr>
          <w:rFonts w:hint="eastAsia" w:ascii="楷体" w:hAnsi="楷体" w:eastAsia="楷体" w:cs="楷体"/>
          <w:sz w:val="32"/>
          <w:szCs w:val="32"/>
          <w:lang w:val="en-US" w:eastAsia="zh-CN"/>
        </w:rPr>
      </w:pPr>
      <w:r>
        <w:rPr>
          <w:rStyle w:val="13"/>
          <w:rFonts w:hint="eastAsia" w:ascii="仿宋" w:hAnsi="仿宋" w:eastAsia="仿宋" w:cs="仿宋"/>
          <w:b w:val="0"/>
          <w:bCs/>
          <w:color w:val="000000"/>
          <w:sz w:val="32"/>
          <w:szCs w:val="32"/>
          <w:lang w:val="en-US" w:eastAsia="zh-CN" w:bidi="ar-SA"/>
        </w:rPr>
        <w:t>联合平陆县红十字会开展“红十字应急救护培训和无偿献血知识进校园”专场培训会；联合国机集团对学校电子商务专业师生，平陆县致富带头人、返乡青年、退伍军人进行乡村振兴直播电商培训；联合平陆蓝天救援队进行救援培训。</w:t>
      </w:r>
    </w:p>
    <w:p w14:paraId="40CD6622">
      <w:pPr>
        <w:pStyle w:val="11"/>
        <w:numPr>
          <w:ilvl w:val="0"/>
          <w:numId w:val="0"/>
        </w:numP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2.人才培养</w:t>
      </w:r>
    </w:p>
    <w:p w14:paraId="387E7657">
      <w:pPr>
        <w:pStyle w:val="11"/>
        <w:numPr>
          <w:ilvl w:val="0"/>
          <w:numId w:val="0"/>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2.1立德树人</w:t>
      </w:r>
    </w:p>
    <w:p w14:paraId="443058C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13"/>
          <w:rFonts w:hint="default" w:ascii="仿宋" w:hAnsi="仿宋" w:eastAsia="仿宋" w:cs="仿宋"/>
          <w:b w:val="0"/>
          <w:bCs/>
          <w:sz w:val="32"/>
          <w:szCs w:val="32"/>
          <w:lang w:val="en-US" w:eastAsia="zh-CN"/>
        </w:rPr>
      </w:pPr>
      <w:r>
        <w:rPr>
          <w:rStyle w:val="13"/>
          <w:rFonts w:hint="eastAsia" w:ascii="仿宋" w:hAnsi="仿宋" w:eastAsia="仿宋" w:cs="仿宋"/>
          <w:b w:val="0"/>
          <w:bCs/>
          <w:sz w:val="32"/>
          <w:szCs w:val="32"/>
          <w:lang w:val="en-US" w:eastAsia="zh-CN"/>
        </w:rPr>
        <w:t>德育大讲堂春风化雨。我校通过德育大讲堂开展的青春期生理卫生健康教育、中学生人际交往、理想如何实现等心理、励志类的主题讲座，推动“三全育人”综合改革走向深入。</w:t>
      </w:r>
    </w:p>
    <w:p w14:paraId="575A8A9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13"/>
          <w:rFonts w:hint="eastAsia" w:ascii="仿宋" w:hAnsi="仿宋" w:eastAsia="仿宋" w:cs="仿宋"/>
          <w:b w:val="0"/>
          <w:bCs/>
          <w:sz w:val="32"/>
          <w:szCs w:val="32"/>
          <w:lang w:eastAsia="zh-CN"/>
        </w:rPr>
      </w:pPr>
      <w:r>
        <w:rPr>
          <w:rStyle w:val="13"/>
          <w:rFonts w:hint="eastAsia" w:ascii="仿宋" w:hAnsi="仿宋" w:eastAsia="仿宋" w:cs="仿宋"/>
          <w:b w:val="0"/>
          <w:bCs/>
          <w:sz w:val="32"/>
          <w:szCs w:val="32"/>
          <w:lang w:val="en-US" w:eastAsia="zh-CN"/>
        </w:rPr>
        <w:t>爱心</w:t>
      </w:r>
      <w:r>
        <w:rPr>
          <w:rStyle w:val="13"/>
          <w:rFonts w:hint="eastAsia" w:ascii="仿宋" w:hAnsi="仿宋" w:eastAsia="仿宋" w:cs="仿宋"/>
          <w:b w:val="0"/>
          <w:bCs/>
          <w:sz w:val="32"/>
          <w:szCs w:val="32"/>
          <w:lang w:eastAsia="zh-CN"/>
        </w:rPr>
        <w:t>活动传递温暖。积极响应县妇联号召，组织教师参与“爱心妈妈”活动，为张店前滩村 7 名留守儿童送去了关爱和温暖。爱心妈妈们定期与留守儿童交流谈心，了解他们的学习和生活情况，为他们辅导功课、购买学习用品、过生日等，让留守儿童感受到了家庭般的关怀和温暖，在社会上引起了强烈反响，彰显了我校教师的高尚师德和社会责任感。</w:t>
      </w:r>
    </w:p>
    <w:p w14:paraId="3A22230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13"/>
          <w:rFonts w:hint="default" w:ascii="仿宋" w:hAnsi="仿宋" w:eastAsia="仿宋" w:cs="仿宋"/>
          <w:b w:val="0"/>
          <w:bCs/>
          <w:sz w:val="32"/>
          <w:szCs w:val="32"/>
          <w:lang w:val="en-US" w:eastAsia="zh-CN"/>
        </w:rPr>
      </w:pPr>
      <w:r>
        <w:rPr>
          <w:rStyle w:val="13"/>
          <w:rFonts w:hint="eastAsia" w:ascii="仿宋" w:hAnsi="仿宋" w:eastAsia="仿宋" w:cs="仿宋"/>
          <w:b w:val="0"/>
          <w:bCs/>
          <w:sz w:val="32"/>
          <w:szCs w:val="32"/>
          <w:lang w:val="en-US" w:eastAsia="zh-CN"/>
        </w:rPr>
        <w:t>社团</w:t>
      </w:r>
      <w:r>
        <w:rPr>
          <w:rStyle w:val="13"/>
          <w:rFonts w:hint="eastAsia" w:ascii="仿宋" w:hAnsi="仿宋" w:eastAsia="仿宋" w:cs="仿宋"/>
          <w:b w:val="0"/>
          <w:bCs/>
          <w:sz w:val="32"/>
          <w:szCs w:val="32"/>
          <w:lang w:eastAsia="zh-CN"/>
        </w:rPr>
        <w:t>活动激发学生潜能。团委积极组织开展丰富多彩的校园文化活动，如“</w:t>
      </w:r>
      <w:r>
        <w:rPr>
          <w:rStyle w:val="13"/>
          <w:rFonts w:hint="eastAsia" w:ascii="仿宋" w:hAnsi="仿宋" w:eastAsia="仿宋" w:cs="仿宋"/>
          <w:b w:val="0"/>
          <w:bCs/>
          <w:sz w:val="32"/>
          <w:szCs w:val="32"/>
          <w:lang w:val="en-US" w:eastAsia="zh-CN"/>
        </w:rPr>
        <w:t>学雷锋</w:t>
      </w:r>
      <w:r>
        <w:rPr>
          <w:rStyle w:val="13"/>
          <w:rFonts w:hint="eastAsia" w:ascii="仿宋" w:hAnsi="仿宋" w:eastAsia="仿宋" w:cs="仿宋"/>
          <w:b w:val="0"/>
          <w:bCs/>
          <w:sz w:val="32"/>
          <w:szCs w:val="32"/>
          <w:lang w:eastAsia="zh-CN"/>
        </w:rPr>
        <w:t>”</w:t>
      </w:r>
      <w:r>
        <w:rPr>
          <w:rStyle w:val="13"/>
          <w:rFonts w:hint="eastAsia" w:ascii="仿宋" w:hAnsi="仿宋" w:eastAsia="仿宋" w:cs="仿宋"/>
          <w:b w:val="0"/>
          <w:bCs/>
          <w:sz w:val="32"/>
          <w:szCs w:val="32"/>
          <w:lang w:val="en-US" w:eastAsia="zh-CN"/>
        </w:rPr>
        <w:t>主题活动、“技能传承中华优秀传统文化”第二届艺术节系列活动、</w:t>
      </w:r>
      <w:r>
        <w:rPr>
          <w:rStyle w:val="13"/>
          <w:rFonts w:hint="eastAsia" w:ascii="仿宋" w:hAnsi="仿宋" w:eastAsia="仿宋" w:cs="仿宋"/>
          <w:b w:val="0"/>
          <w:bCs/>
          <w:sz w:val="32"/>
          <w:szCs w:val="32"/>
          <w:lang w:eastAsia="zh-CN"/>
        </w:rPr>
        <w:t>社团活动、文艺汇演、体育比赛、科技创新大赛等，为学生提供了广阔的展示平台，激发了学生的兴趣和潜能。各类社团蓬勃发展，涵盖了文学、艺术、体育、科技等多个领域，学生参与率达到</w:t>
      </w:r>
      <w:r>
        <w:rPr>
          <w:rStyle w:val="13"/>
          <w:rFonts w:hint="eastAsia" w:ascii="仿宋" w:hAnsi="仿宋" w:eastAsia="仿宋" w:cs="仿宋"/>
          <w:b w:val="0"/>
          <w:bCs/>
          <w:sz w:val="32"/>
          <w:szCs w:val="32"/>
          <w:lang w:val="en-US" w:eastAsia="zh-CN"/>
        </w:rPr>
        <w:t>95</w:t>
      </w:r>
      <w:r>
        <w:rPr>
          <w:rStyle w:val="13"/>
          <w:rFonts w:hint="eastAsia" w:ascii="仿宋" w:hAnsi="仿宋" w:eastAsia="仿宋" w:cs="仿宋"/>
          <w:b w:val="0"/>
          <w:bCs/>
          <w:sz w:val="32"/>
          <w:szCs w:val="32"/>
          <w:lang w:eastAsia="zh-CN"/>
        </w:rPr>
        <w:t>%以上，丰富了学生的课余生活，培养了学生的综合素质和创新精神。</w:t>
      </w:r>
    </w:p>
    <w:p w14:paraId="5DFDD70F">
      <w:pPr>
        <w:pStyle w:val="11"/>
        <w:numPr>
          <w:ilvl w:val="0"/>
          <w:numId w:val="0"/>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2.2专业建设</w:t>
      </w:r>
    </w:p>
    <w:p w14:paraId="5BCF1E59">
      <w:pPr>
        <w:bidi w:val="0"/>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学校不断强化专业建设，围绕人才培养质量，大力加强专业内涵建设，不断深化教育教学改革，持续推进专业高质量发展。通过深化校企合作、创新人才培养模式、丰富专业教学内容、加强“双师型”教师队伍建设、完善专业办学条件等措施，提高了专业人才培养质量和社会服务能力，专业办学成效显著,赢得社会高度赞誉。</w:t>
      </w:r>
    </w:p>
    <w:p w14:paraId="62DFEA91">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2.2.1专业动态</w:t>
      </w:r>
    </w:p>
    <w:p w14:paraId="070E47EF">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调整根据县域经济发展需求，结合学校教学改革和专业建设实际，对专业进行调整。学校现开设计算机应用、艺术设计与制作、电子商务、旅游服务与管理、机电技术应用、焊接技术应用、社会文化艺术、汽车运用与维修、音乐表演、舞蹈表演、无人机操作与维护等11个专业，形成了“信息技术类、旅游服务类、机械制造类、教育类”四大专业群，专业设置布局合理。目前，学校的“WPS办公应用技能应用、新能源汽车装调与测试、无人机应用技术、生涯规划指导职业资格证书”四个科目已被列入“1+X”证书试点院校试点专业。12月份，15名同学参加并通过长治华北机电学校1+X新能源汽车装调与测试技能考试。</w:t>
      </w:r>
    </w:p>
    <w:p w14:paraId="0EE09988">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2.2.2人才培养方案调整</w:t>
      </w:r>
    </w:p>
    <w:p w14:paraId="48ABFFEE">
      <w:pPr>
        <w:bidi w:val="0"/>
        <w:ind w:firstLine="640" w:firstLineChars="200"/>
        <w:rPr>
          <w:rFonts w:hint="eastAsia"/>
          <w:lang w:val="en-US" w:eastAsia="zh-CN"/>
        </w:rPr>
      </w:pPr>
      <w:r>
        <w:rPr>
          <w:rFonts w:hint="eastAsia" w:ascii="仿宋" w:hAnsi="仿宋" w:eastAsia="仿宋" w:cs="仿宋"/>
          <w:sz w:val="32"/>
          <w:szCs w:val="32"/>
          <w:lang w:val="en-US" w:eastAsia="zh-CN"/>
        </w:rPr>
        <w:t>针对课程建设，学校开展了在校生调研座谈会和毕业生跟踪调研，充分听取学生的学习需求和建议,在充分调研论证的基础上，修订各专业人才培养方案部分内容，完善课程建设的要求，突出培养目标的质量保障要求。</w:t>
      </w:r>
    </w:p>
    <w:p w14:paraId="681D8804">
      <w:pPr>
        <w:pStyle w:val="11"/>
        <w:numPr>
          <w:ilvl w:val="0"/>
          <w:numId w:val="0"/>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2.3课程建设（含数字化教学资源建设）</w:t>
      </w:r>
    </w:p>
    <w:p w14:paraId="5DF95F52">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学校围绕《国家职教改革实施方案》要求，加大课程标准和课程思政建设。对11个专业的人才培养方案进行修订，完善核心课程标准，推广新式教学资源、更新教学理念。</w:t>
      </w:r>
    </w:p>
    <w:p w14:paraId="5377A83C">
      <w:pPr>
        <w:pStyle w:val="11"/>
        <w:numPr>
          <w:ilvl w:val="0"/>
          <w:numId w:val="0"/>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2.4教材建设</w:t>
      </w:r>
    </w:p>
    <w:p w14:paraId="4A454ED6">
      <w:pPr>
        <w:bidi w:val="0"/>
        <w:ind w:firstLine="640" w:firstLineChars="200"/>
        <w:rPr>
          <w:rFonts w:hint="eastAsia" w:ascii="楷体" w:hAnsi="楷体" w:eastAsia="楷体" w:cs="楷体"/>
          <w:sz w:val="32"/>
          <w:szCs w:val="32"/>
          <w:lang w:val="en-US" w:eastAsia="zh-CN"/>
        </w:rPr>
      </w:pPr>
      <w:r>
        <w:rPr>
          <w:rFonts w:hint="eastAsia" w:ascii="仿宋" w:hAnsi="仿宋" w:eastAsia="仿宋" w:cs="仿宋"/>
          <w:sz w:val="32"/>
          <w:szCs w:val="32"/>
          <w:lang w:val="en-US" w:eastAsia="zh-CN"/>
        </w:rPr>
        <w:t>编写德育校本教材《明理修身》《初高中知识衔接指南》、就业班语数英文化课校本教材；暑期开展课程思政理念更新和能力提升、师德师风、专业课建设及教学模式创新、心理健康等内容的教师综合素养提升培训。</w:t>
      </w:r>
    </w:p>
    <w:p w14:paraId="1524944D">
      <w:pPr>
        <w:pStyle w:val="11"/>
        <w:numPr>
          <w:ilvl w:val="0"/>
          <w:numId w:val="0"/>
        </w:numPr>
        <w:ind w:firstLine="640" w:firstLineChars="200"/>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2.5教师队伍建设</w:t>
      </w:r>
    </w:p>
    <w:p w14:paraId="7C634BF3">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秋学段前，学校先后邀请专家教授对全体教师进行课程思政理念更新和能力提升、师德师风、专业课建设及教学模式创新、心理健康等方面培训，提升教师综合素养；组织39名师生参加山西省第十七届职业院校技能大赛13个项目比赛，综合积分再次进入全省前50名榜单。坚持以赛促教，对参加十七届省、市、校技能大赛获奖师生，特色文化育人品牌、思政微课、文明风采获奖者，优秀班级和标兵等荣誉获得者进行表彰；抓实候课、课堂教学、作业批改等教学常规行为及其检查、公布工作；抓教研，按照教研室工作安排，召开教研组长会、教师座谈会和定期教研活动，群策群力让教研活动有实效、可持续；进行了推门课、示范课、过关课、赛讲课，促进教师专业成长，指导推进使每一位学生能学习、会学习、有收获、有成长的分层教学模式。</w:t>
      </w:r>
    </w:p>
    <w:p w14:paraId="3CE44863">
      <w:pPr>
        <w:bidi w:val="0"/>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2.6实训基地建设</w:t>
      </w:r>
    </w:p>
    <w:p w14:paraId="76696EA2">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先后与晨虹（山西）新材料科技有限公司、山西古虞王农业股份有限公司、平陆县丰平农机专业合作社、平陆县威盛汽车商贸有限公司等企业签订了合作协议，各实习基地都能提供充足的岗位满足学生实习需要。根据实施性教学计划，科学合理地安排教学内容与毕业生实习任务，校企合作双方共同开发实训教学案例，产教对接完成实训教学任务。</w:t>
      </w:r>
    </w:p>
    <w:p w14:paraId="4587D199">
      <w:pPr>
        <w:bidi w:val="0"/>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2.7教学改革</w:t>
      </w:r>
    </w:p>
    <w:p w14:paraId="4DD3D61E">
      <w:pPr>
        <w:bidi w:val="0"/>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学校十分重视学生的素质养成和职业能力培养，除做好文化课、专业课教学外，还注重把职业指导贯穿于学校各年级教育的全过程，为学生今后就业打下坚实基础。如在学生到校第一、二个学期，学校就开设了《职业生涯规划》、《职业道德与法律》等课程，着重培养学生的职业观念、职业习惯、职业道德和职业精神，帮助学生树立正确的职业理想，为他们将来走向社会，实现自己的职业梦想打好基础。通过对学生的学习调查分析显示，平陆县第一高级职业中学大部分毕业生能够树立起正确的就业观念。从用人单位对毕业生各项素质的评价看，总体来说是满意的，很多学生能把自己的理论知识和企业生产实践有机地结合起来，并在工作中积极创新，敢于担当，有不少毕业生还被委以重任，当上了企业的管理人员。总体上来看，大多数毕业生就业后都很稳定，能够胜任各自的工作岗位，受到企业的认可。此外学校通过创新人才培养模式，开展系统化、多样化的创新创业教育，提升就业竞争力，也涌现了一批创新创业典型。</w:t>
      </w:r>
    </w:p>
    <w:p w14:paraId="1E97325A">
      <w:pPr>
        <w:pStyle w:val="11"/>
        <w:numPr>
          <w:ilvl w:val="0"/>
          <w:numId w:val="0"/>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2.8贯通培养</w:t>
      </w:r>
    </w:p>
    <w:p w14:paraId="6B3BD71B">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充分认识到深入推进职业教育集团化办学的重要意义，进一步强化了职业教育集团建设工作。2021年开始，在山西省装备制造职业教育集团引领下，遵循资源共享、优势互补、互惠互利、共同发展的原则，积极承担集团参与单位应有的责任，深化办学模式、培养模式、教学模式、评价模式改革，使企业真正成为“育人主体”的一部分，实现人才合育，进一步提升了学校办学质量。先后组织多批次共40余名教师先后赴河津市职业中学、永济市职业中专、夏县职业中学等学校考察学习。</w:t>
      </w:r>
    </w:p>
    <w:p w14:paraId="7C32A165">
      <w:pPr>
        <w:pStyle w:val="11"/>
        <w:numPr>
          <w:ilvl w:val="0"/>
          <w:numId w:val="0"/>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2.9科教融合</w:t>
      </w:r>
    </w:p>
    <w:p w14:paraId="2D0772FC">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运城市及平陆县经济工作安排，推进引企入校，共建实训基地，共订培养方案，共建教师团队，共研课程设置，共商教材开发，融入人才培养、科学研究、技术创新、企业服务、学生创业于一体，为当地高质量发展提供专业人才支撑。学校健全了校企合作、科教融合管理机制，制定了《校企合作管理办法》，建立了校企合作、科教融合的长效机制。</w:t>
      </w:r>
    </w:p>
    <w:p w14:paraId="67A86169">
      <w:pPr>
        <w:pStyle w:val="11"/>
        <w:numPr>
          <w:ilvl w:val="0"/>
          <w:numId w:val="0"/>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2.10技能大赛</w:t>
      </w:r>
    </w:p>
    <w:p w14:paraId="007EE027">
      <w:pPr>
        <w:bidi w:val="0"/>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第二十七届全国教师信息素养提升实践活动中，学校教师李晓的微课《行走于虞坂古盐道》被评为中等职业教育组微课制作典型作品。</w:t>
      </w:r>
    </w:p>
    <w:p w14:paraId="0881443F">
      <w:pPr>
        <w:bidi w:val="0"/>
        <w:ind w:firstLine="640" w:firstLineChars="200"/>
        <w:rPr>
          <w:rStyle w:val="13"/>
          <w:rFonts w:hint="eastAsia" w:ascii="仿宋" w:hAnsi="仿宋" w:eastAsia="仿宋" w:cs="仿宋"/>
          <w:b w:val="0"/>
          <w:bCs/>
          <w:sz w:val="32"/>
          <w:szCs w:val="32"/>
          <w:lang w:eastAsia="zh-CN"/>
        </w:rPr>
      </w:pPr>
      <w:r>
        <w:rPr>
          <w:rFonts w:hint="eastAsia" w:ascii="仿宋" w:hAnsi="仿宋" w:eastAsia="仿宋" w:cs="仿宋"/>
          <w:sz w:val="32"/>
          <w:szCs w:val="32"/>
        </w:rPr>
        <w:t>山西省第十七届职业院校技能大赛教学能力比赛</w:t>
      </w:r>
      <w:r>
        <w:rPr>
          <w:rFonts w:hint="eastAsia" w:ascii="仿宋" w:hAnsi="仿宋" w:eastAsia="仿宋" w:cs="仿宋"/>
          <w:sz w:val="32"/>
          <w:szCs w:val="32"/>
          <w:lang w:eastAsia="zh-CN"/>
        </w:rPr>
        <w:t>中，荣获一等奖</w:t>
      </w:r>
      <w:r>
        <w:rPr>
          <w:rFonts w:hint="eastAsia" w:ascii="仿宋" w:hAnsi="仿宋" w:eastAsia="仿宋" w:cs="仿宋"/>
          <w:sz w:val="32"/>
          <w:szCs w:val="32"/>
          <w:lang w:val="en-US" w:eastAsia="zh-CN"/>
        </w:rPr>
        <w:t>1个，</w:t>
      </w:r>
      <w:r>
        <w:rPr>
          <w:rFonts w:hint="eastAsia" w:ascii="仿宋" w:hAnsi="仿宋" w:eastAsia="仿宋" w:cs="仿宋"/>
          <w:sz w:val="32"/>
          <w:szCs w:val="32"/>
        </w:rPr>
        <w:t>二等奖5个，三等奖10个</w:t>
      </w:r>
      <w:r>
        <w:rPr>
          <w:rFonts w:hint="eastAsia" w:ascii="仿宋" w:hAnsi="仿宋" w:eastAsia="仿宋" w:cs="仿宋"/>
          <w:sz w:val="32"/>
          <w:szCs w:val="32"/>
          <w:lang w:eastAsia="zh-CN"/>
        </w:rPr>
        <w:t>；</w:t>
      </w:r>
      <w:r>
        <w:rPr>
          <w:rStyle w:val="13"/>
          <w:rFonts w:hint="eastAsia" w:ascii="仿宋" w:hAnsi="仿宋" w:eastAsia="仿宋" w:cs="仿宋"/>
          <w:b w:val="0"/>
          <w:bCs/>
          <w:sz w:val="32"/>
          <w:szCs w:val="32"/>
          <w:lang w:eastAsia="zh-CN"/>
        </w:rPr>
        <w:t>山西省第十八届职业院校技能大赛中获得二等奖 6 个、三等奖 10 个。校语文组的 4 名教师获得省大赛三等奖。</w:t>
      </w:r>
    </w:p>
    <w:p w14:paraId="6B2B8846">
      <w:pPr>
        <w:bidi w:val="0"/>
        <w:ind w:firstLine="640" w:firstLineChars="200"/>
        <w:rPr>
          <w:rFonts w:hint="eastAsia" w:ascii="仿宋" w:hAnsi="仿宋" w:eastAsia="仿宋" w:cs="仿宋"/>
          <w:sz w:val="32"/>
          <w:szCs w:val="32"/>
          <w:lang w:val="en-US" w:eastAsia="zh-CN"/>
        </w:rPr>
      </w:pPr>
      <w:r>
        <w:rPr>
          <w:rStyle w:val="13"/>
          <w:rFonts w:hint="eastAsia" w:ascii="仿宋" w:hAnsi="仿宋" w:eastAsia="仿宋" w:cs="仿宋"/>
          <w:b w:val="0"/>
          <w:bCs/>
          <w:sz w:val="32"/>
          <w:szCs w:val="32"/>
          <w:lang w:eastAsia="zh-CN"/>
        </w:rPr>
        <w:t>运城市第十三届职业院校技能大赛中</w:t>
      </w:r>
      <w:r>
        <w:rPr>
          <w:rStyle w:val="13"/>
          <w:rFonts w:hint="eastAsia" w:ascii="仿宋" w:hAnsi="仿宋" w:eastAsia="仿宋" w:cs="仿宋"/>
          <w:b w:val="0"/>
          <w:bCs/>
          <w:sz w:val="32"/>
          <w:szCs w:val="32"/>
          <w:lang w:val="en-US" w:eastAsia="zh-CN"/>
        </w:rPr>
        <w:t>荣</w:t>
      </w:r>
      <w:r>
        <w:rPr>
          <w:rStyle w:val="13"/>
          <w:rFonts w:hint="eastAsia" w:ascii="仿宋" w:hAnsi="仿宋" w:eastAsia="仿宋" w:cs="仿宋"/>
          <w:b w:val="0"/>
          <w:bCs/>
          <w:sz w:val="32"/>
          <w:szCs w:val="32"/>
          <w:lang w:eastAsia="zh-CN"/>
        </w:rPr>
        <w:t>获二等奖 3 个、三等奖 4 个、团体三等奖 2 个。</w:t>
      </w:r>
    </w:p>
    <w:p w14:paraId="42667EB1">
      <w:pPr>
        <w:keepNext w:val="0"/>
        <w:keepLines w:val="0"/>
        <w:widowControl/>
        <w:suppressLineNumbers w:val="0"/>
        <w:jc w:val="center"/>
      </w:pPr>
      <w:r>
        <w:rPr>
          <w:rFonts w:ascii="宋体" w:hAnsi="宋体" w:eastAsia="宋体" w:cs="宋体"/>
          <w:kern w:val="0"/>
          <w:sz w:val="24"/>
          <w:szCs w:val="24"/>
          <w:lang w:val="en-US" w:eastAsia="zh-CN" w:bidi="ar"/>
        </w:rPr>
        <w:t>参加山西省第十</w:t>
      </w:r>
      <w:r>
        <w:rPr>
          <w:rFonts w:hint="eastAsia" w:ascii="宋体" w:hAnsi="宋体" w:eastAsia="宋体" w:cs="宋体"/>
          <w:kern w:val="0"/>
          <w:sz w:val="24"/>
          <w:szCs w:val="24"/>
          <w:lang w:val="en-US" w:eastAsia="zh-CN" w:bidi="ar"/>
        </w:rPr>
        <w:t>七</w:t>
      </w:r>
      <w:r>
        <w:rPr>
          <w:rFonts w:ascii="宋体" w:hAnsi="宋体" w:eastAsia="宋体" w:cs="宋体"/>
          <w:kern w:val="0"/>
          <w:sz w:val="24"/>
          <w:szCs w:val="24"/>
          <w:lang w:val="en-US" w:eastAsia="zh-CN" w:bidi="ar"/>
        </w:rPr>
        <w:t>届职业院校技能大赛获奖名单</w:t>
      </w:r>
    </w:p>
    <w:p w14:paraId="59D20644">
      <w:pPr>
        <w:ind w:firstLine="420" w:firstLineChars="200"/>
        <w:rPr>
          <w:rFonts w:hint="eastAsia"/>
          <w:lang w:val="en-US" w:eastAsia="zh-CN"/>
        </w:rPr>
      </w:pPr>
    </w:p>
    <w:tbl>
      <w:tblPr>
        <w:tblStyle w:val="7"/>
        <w:tblW w:w="8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6"/>
      </w:tblGrid>
      <w:tr w14:paraId="4E8E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6" w:type="dxa"/>
            <w:vAlign w:val="top"/>
          </w:tcPr>
          <w:tbl>
            <w:tblPr>
              <w:tblStyle w:val="6"/>
              <w:tblW w:w="8790" w:type="dxa"/>
              <w:tblInd w:w="-1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81"/>
              <w:gridCol w:w="1284"/>
              <w:gridCol w:w="1214"/>
              <w:gridCol w:w="1183"/>
              <w:gridCol w:w="1990"/>
              <w:gridCol w:w="1238"/>
            </w:tblGrid>
            <w:tr w14:paraId="2206F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8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031F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128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0D0E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指导教师</w:t>
                  </w:r>
                </w:p>
              </w:tc>
              <w:tc>
                <w:tcPr>
                  <w:tcW w:w="121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EEB2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项目类型</w:t>
                  </w:r>
                </w:p>
              </w:tc>
              <w:tc>
                <w:tcPr>
                  <w:tcW w:w="118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2680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赛道</w:t>
                  </w:r>
                </w:p>
              </w:tc>
              <w:tc>
                <w:tcPr>
                  <w:tcW w:w="199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FFB3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一级项目</w:t>
                  </w:r>
                </w:p>
              </w:tc>
              <w:tc>
                <w:tcPr>
                  <w:tcW w:w="1238"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99C4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获奖等级</w:t>
                  </w:r>
                </w:p>
              </w:tc>
            </w:tr>
            <w:tr w14:paraId="4645B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81" w:type="dxa"/>
                  <w:tcBorders>
                    <w:top w:val="single" w:color="000000" w:sz="4" w:space="0"/>
                    <w:left w:val="single" w:color="000000" w:sz="4" w:space="0"/>
                    <w:bottom w:val="single" w:color="000000" w:sz="4" w:space="0"/>
                    <w:right w:val="single" w:color="000000" w:sz="4" w:space="0"/>
                  </w:tcBorders>
                  <w:vAlign w:val="center"/>
                </w:tcPr>
                <w:p w14:paraId="0E662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王蕴洁</w:t>
                  </w:r>
                </w:p>
              </w:tc>
              <w:tc>
                <w:tcPr>
                  <w:tcW w:w="1284" w:type="dxa"/>
                  <w:tcBorders>
                    <w:top w:val="single" w:color="000000" w:sz="4" w:space="0"/>
                    <w:left w:val="single" w:color="000000" w:sz="4" w:space="0"/>
                    <w:bottom w:val="single" w:color="000000" w:sz="4" w:space="0"/>
                    <w:right w:val="single" w:color="000000" w:sz="4" w:space="0"/>
                  </w:tcBorders>
                  <w:vAlign w:val="center"/>
                </w:tcPr>
                <w:p w14:paraId="5EE3B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司志婷</w:t>
                  </w:r>
                </w:p>
              </w:tc>
              <w:tc>
                <w:tcPr>
                  <w:tcW w:w="1214" w:type="dxa"/>
                  <w:tcBorders>
                    <w:top w:val="single" w:color="000000" w:sz="4" w:space="0"/>
                    <w:left w:val="single" w:color="000000" w:sz="4" w:space="0"/>
                    <w:bottom w:val="single" w:color="000000" w:sz="4" w:space="0"/>
                    <w:right w:val="single" w:color="000000" w:sz="4" w:space="0"/>
                  </w:tcBorders>
                  <w:vAlign w:val="center"/>
                </w:tcPr>
                <w:p w14:paraId="32935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个人项目</w:t>
                  </w:r>
                </w:p>
              </w:tc>
              <w:tc>
                <w:tcPr>
                  <w:tcW w:w="1183" w:type="dxa"/>
                  <w:tcBorders>
                    <w:top w:val="single" w:color="000000" w:sz="4" w:space="0"/>
                    <w:left w:val="single" w:color="000000" w:sz="4" w:space="0"/>
                    <w:bottom w:val="single" w:color="000000" w:sz="4" w:space="0"/>
                    <w:right w:val="single" w:color="000000" w:sz="4" w:space="0"/>
                  </w:tcBorders>
                  <w:vAlign w:val="center"/>
                </w:tcPr>
                <w:p w14:paraId="7BB42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学生赛道</w:t>
                  </w:r>
                </w:p>
              </w:tc>
              <w:tc>
                <w:tcPr>
                  <w:tcW w:w="1990" w:type="dxa"/>
                  <w:tcBorders>
                    <w:top w:val="single" w:color="000000" w:sz="4" w:space="0"/>
                    <w:left w:val="single" w:color="000000" w:sz="4" w:space="0"/>
                    <w:bottom w:val="single" w:color="000000" w:sz="4" w:space="0"/>
                    <w:right w:val="single" w:color="000000" w:sz="4" w:space="0"/>
                  </w:tcBorders>
                  <w:vAlign w:val="center"/>
                </w:tcPr>
                <w:p w14:paraId="2DCA7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导游服务</w:t>
                  </w:r>
                </w:p>
              </w:tc>
              <w:tc>
                <w:tcPr>
                  <w:tcW w:w="1238" w:type="dxa"/>
                  <w:tcBorders>
                    <w:top w:val="single" w:color="000000" w:sz="4" w:space="0"/>
                    <w:left w:val="single" w:color="000000" w:sz="4" w:space="0"/>
                    <w:bottom w:val="single" w:color="000000" w:sz="4" w:space="0"/>
                    <w:right w:val="single" w:color="000000" w:sz="4" w:space="0"/>
                  </w:tcBorders>
                  <w:vAlign w:val="center"/>
                </w:tcPr>
                <w:p w14:paraId="3D510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14:paraId="6E21F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81" w:type="dxa"/>
                  <w:tcBorders>
                    <w:top w:val="single" w:color="000000" w:sz="4" w:space="0"/>
                    <w:left w:val="single" w:color="000000" w:sz="4" w:space="0"/>
                    <w:bottom w:val="single" w:color="000000" w:sz="4" w:space="0"/>
                    <w:right w:val="single" w:color="000000" w:sz="4" w:space="0"/>
                  </w:tcBorders>
                  <w:vAlign w:val="center"/>
                </w:tcPr>
                <w:p w14:paraId="032DB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景淑慧,景淑湘</w:t>
                  </w:r>
                </w:p>
              </w:tc>
              <w:tc>
                <w:tcPr>
                  <w:tcW w:w="1284" w:type="dxa"/>
                  <w:tcBorders>
                    <w:top w:val="single" w:color="000000" w:sz="4" w:space="0"/>
                    <w:left w:val="single" w:color="000000" w:sz="4" w:space="0"/>
                    <w:bottom w:val="single" w:color="000000" w:sz="4" w:space="0"/>
                    <w:right w:val="single" w:color="000000" w:sz="4" w:space="0"/>
                  </w:tcBorders>
                  <w:vAlign w:val="center"/>
                </w:tcPr>
                <w:p w14:paraId="051328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梁燕</w:t>
                  </w:r>
                </w:p>
                <w:p w14:paraId="2F8D0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吴娜</w:t>
                  </w:r>
                </w:p>
              </w:tc>
              <w:tc>
                <w:tcPr>
                  <w:tcW w:w="1214" w:type="dxa"/>
                  <w:tcBorders>
                    <w:top w:val="single" w:color="000000" w:sz="4" w:space="0"/>
                    <w:left w:val="single" w:color="000000" w:sz="4" w:space="0"/>
                    <w:bottom w:val="single" w:color="000000" w:sz="4" w:space="0"/>
                    <w:right w:val="single" w:color="000000" w:sz="4" w:space="0"/>
                  </w:tcBorders>
                  <w:vAlign w:val="center"/>
                </w:tcPr>
                <w:p w14:paraId="4141D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团体项目</w:t>
                  </w:r>
                </w:p>
              </w:tc>
              <w:tc>
                <w:tcPr>
                  <w:tcW w:w="1183" w:type="dxa"/>
                  <w:tcBorders>
                    <w:top w:val="single" w:color="000000" w:sz="4" w:space="0"/>
                    <w:left w:val="single" w:color="000000" w:sz="4" w:space="0"/>
                    <w:bottom w:val="single" w:color="000000" w:sz="4" w:space="0"/>
                    <w:right w:val="single" w:color="000000" w:sz="4" w:space="0"/>
                  </w:tcBorders>
                  <w:vAlign w:val="center"/>
                </w:tcPr>
                <w:p w14:paraId="767E6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学生赛道</w:t>
                  </w:r>
                </w:p>
              </w:tc>
              <w:tc>
                <w:tcPr>
                  <w:tcW w:w="1990" w:type="dxa"/>
                  <w:tcBorders>
                    <w:top w:val="single" w:color="000000" w:sz="4" w:space="0"/>
                    <w:left w:val="single" w:color="000000" w:sz="4" w:space="0"/>
                    <w:bottom w:val="single" w:color="000000" w:sz="4" w:space="0"/>
                    <w:right w:val="single" w:color="000000" w:sz="4" w:space="0"/>
                  </w:tcBorders>
                  <w:vAlign w:val="center"/>
                </w:tcPr>
                <w:p w14:paraId="416EA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酒店服务</w:t>
                  </w:r>
                </w:p>
              </w:tc>
              <w:tc>
                <w:tcPr>
                  <w:tcW w:w="1238" w:type="dxa"/>
                  <w:tcBorders>
                    <w:top w:val="single" w:color="000000" w:sz="4" w:space="0"/>
                    <w:left w:val="single" w:color="000000" w:sz="4" w:space="0"/>
                    <w:bottom w:val="single" w:color="000000" w:sz="4" w:space="0"/>
                    <w:right w:val="single" w:color="000000" w:sz="4" w:space="0"/>
                  </w:tcBorders>
                  <w:vAlign w:val="center"/>
                </w:tcPr>
                <w:p w14:paraId="791DC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14:paraId="678D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81" w:type="dxa"/>
                  <w:tcBorders>
                    <w:top w:val="single" w:color="000000" w:sz="4" w:space="0"/>
                    <w:left w:val="single" w:color="000000" w:sz="4" w:space="0"/>
                    <w:bottom w:val="single" w:color="000000" w:sz="4" w:space="0"/>
                    <w:right w:val="single" w:color="000000" w:sz="4" w:space="0"/>
                  </w:tcBorders>
                  <w:vAlign w:val="center"/>
                </w:tcPr>
                <w:p w14:paraId="0EA2D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吴娜</w:t>
                  </w:r>
                </w:p>
              </w:tc>
              <w:tc>
                <w:tcPr>
                  <w:tcW w:w="1284" w:type="dxa"/>
                  <w:tcBorders>
                    <w:top w:val="single" w:color="000000" w:sz="4" w:space="0"/>
                    <w:left w:val="single" w:color="000000" w:sz="4" w:space="0"/>
                    <w:bottom w:val="single" w:color="000000" w:sz="4" w:space="0"/>
                    <w:right w:val="single" w:color="000000" w:sz="4" w:space="0"/>
                  </w:tcBorders>
                  <w:vAlign w:val="center"/>
                </w:tcPr>
                <w:p w14:paraId="5F6DE3B2">
                  <w:pPr>
                    <w:jc w:val="center"/>
                    <w:rPr>
                      <w:rFonts w:hint="eastAsia" w:ascii="宋体" w:hAnsi="宋体" w:eastAsia="宋体" w:cs="宋体"/>
                      <w:i w:val="0"/>
                      <w:iCs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vAlign w:val="center"/>
                </w:tcPr>
                <w:p w14:paraId="1CE47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个人项目</w:t>
                  </w:r>
                </w:p>
              </w:tc>
              <w:tc>
                <w:tcPr>
                  <w:tcW w:w="1183" w:type="dxa"/>
                  <w:tcBorders>
                    <w:top w:val="single" w:color="000000" w:sz="4" w:space="0"/>
                    <w:left w:val="single" w:color="000000" w:sz="4" w:space="0"/>
                    <w:bottom w:val="single" w:color="000000" w:sz="4" w:space="0"/>
                    <w:right w:val="single" w:color="000000" w:sz="4" w:space="0"/>
                  </w:tcBorders>
                  <w:vAlign w:val="center"/>
                </w:tcPr>
                <w:p w14:paraId="70818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教师赛道</w:t>
                  </w:r>
                </w:p>
              </w:tc>
              <w:tc>
                <w:tcPr>
                  <w:tcW w:w="1990" w:type="dxa"/>
                  <w:tcBorders>
                    <w:top w:val="single" w:color="000000" w:sz="4" w:space="0"/>
                    <w:left w:val="single" w:color="000000" w:sz="4" w:space="0"/>
                    <w:bottom w:val="single" w:color="000000" w:sz="4" w:space="0"/>
                    <w:right w:val="single" w:color="000000" w:sz="4" w:space="0"/>
                  </w:tcBorders>
                  <w:vAlign w:val="center"/>
                </w:tcPr>
                <w:p w14:paraId="6DBF2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酒店服务</w:t>
                  </w:r>
                </w:p>
              </w:tc>
              <w:tc>
                <w:tcPr>
                  <w:tcW w:w="1238" w:type="dxa"/>
                  <w:tcBorders>
                    <w:top w:val="single" w:color="000000" w:sz="4" w:space="0"/>
                    <w:left w:val="single" w:color="000000" w:sz="4" w:space="0"/>
                    <w:bottom w:val="single" w:color="000000" w:sz="4" w:space="0"/>
                    <w:right w:val="single" w:color="000000" w:sz="4" w:space="0"/>
                  </w:tcBorders>
                  <w:vAlign w:val="center"/>
                </w:tcPr>
                <w:p w14:paraId="08ED2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14:paraId="51509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81" w:type="dxa"/>
                  <w:tcBorders>
                    <w:top w:val="single" w:color="000000" w:sz="4" w:space="0"/>
                    <w:left w:val="single" w:color="000000" w:sz="4" w:space="0"/>
                    <w:bottom w:val="single" w:color="000000" w:sz="4" w:space="0"/>
                    <w:right w:val="single" w:color="000000" w:sz="4" w:space="0"/>
                  </w:tcBorders>
                  <w:vAlign w:val="center"/>
                </w:tcPr>
                <w:p w14:paraId="4389D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员青</w:t>
                  </w:r>
                </w:p>
              </w:tc>
              <w:tc>
                <w:tcPr>
                  <w:tcW w:w="1284" w:type="dxa"/>
                  <w:tcBorders>
                    <w:top w:val="single" w:color="000000" w:sz="4" w:space="0"/>
                    <w:left w:val="single" w:color="000000" w:sz="4" w:space="0"/>
                    <w:bottom w:val="single" w:color="000000" w:sz="4" w:space="0"/>
                    <w:right w:val="single" w:color="000000" w:sz="4" w:space="0"/>
                  </w:tcBorders>
                  <w:vAlign w:val="center"/>
                </w:tcPr>
                <w:p w14:paraId="7A3A4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杨曙光</w:t>
                  </w:r>
                </w:p>
              </w:tc>
              <w:tc>
                <w:tcPr>
                  <w:tcW w:w="1214" w:type="dxa"/>
                  <w:tcBorders>
                    <w:top w:val="single" w:color="000000" w:sz="4" w:space="0"/>
                    <w:left w:val="single" w:color="000000" w:sz="4" w:space="0"/>
                    <w:bottom w:val="single" w:color="000000" w:sz="4" w:space="0"/>
                    <w:right w:val="single" w:color="000000" w:sz="4" w:space="0"/>
                  </w:tcBorders>
                  <w:vAlign w:val="center"/>
                </w:tcPr>
                <w:p w14:paraId="5AE62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个人项目</w:t>
                  </w:r>
                </w:p>
              </w:tc>
              <w:tc>
                <w:tcPr>
                  <w:tcW w:w="1183" w:type="dxa"/>
                  <w:tcBorders>
                    <w:top w:val="single" w:color="000000" w:sz="4" w:space="0"/>
                    <w:left w:val="single" w:color="000000" w:sz="4" w:space="0"/>
                    <w:bottom w:val="single" w:color="000000" w:sz="4" w:space="0"/>
                    <w:right w:val="single" w:color="000000" w:sz="4" w:space="0"/>
                  </w:tcBorders>
                  <w:vAlign w:val="center"/>
                </w:tcPr>
                <w:p w14:paraId="34083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学生赛道</w:t>
                  </w:r>
                </w:p>
              </w:tc>
              <w:tc>
                <w:tcPr>
                  <w:tcW w:w="1990" w:type="dxa"/>
                  <w:tcBorders>
                    <w:top w:val="single" w:color="000000" w:sz="4" w:space="0"/>
                    <w:left w:val="single" w:color="000000" w:sz="4" w:space="0"/>
                    <w:bottom w:val="single" w:color="000000" w:sz="4" w:space="0"/>
                    <w:right w:val="single" w:color="000000" w:sz="4" w:space="0"/>
                  </w:tcBorders>
                  <w:vAlign w:val="center"/>
                </w:tcPr>
                <w:p w14:paraId="4CD60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焊接技术</w:t>
                  </w:r>
                </w:p>
              </w:tc>
              <w:tc>
                <w:tcPr>
                  <w:tcW w:w="1238" w:type="dxa"/>
                  <w:tcBorders>
                    <w:top w:val="single" w:color="000000" w:sz="4" w:space="0"/>
                    <w:left w:val="single" w:color="000000" w:sz="4" w:space="0"/>
                    <w:bottom w:val="single" w:color="000000" w:sz="4" w:space="0"/>
                    <w:right w:val="single" w:color="000000" w:sz="4" w:space="0"/>
                  </w:tcBorders>
                  <w:vAlign w:val="center"/>
                </w:tcPr>
                <w:p w14:paraId="664E5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14:paraId="44BB7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81" w:type="dxa"/>
                  <w:tcBorders>
                    <w:top w:val="single" w:color="000000" w:sz="4" w:space="0"/>
                    <w:left w:val="single" w:color="000000" w:sz="4" w:space="0"/>
                    <w:bottom w:val="single" w:color="000000" w:sz="4" w:space="0"/>
                    <w:right w:val="single" w:color="000000" w:sz="4" w:space="0"/>
                  </w:tcBorders>
                  <w:vAlign w:val="center"/>
                </w:tcPr>
                <w:p w14:paraId="74D12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仝明</w:t>
                  </w:r>
                </w:p>
              </w:tc>
              <w:tc>
                <w:tcPr>
                  <w:tcW w:w="1284" w:type="dxa"/>
                  <w:tcBorders>
                    <w:top w:val="single" w:color="000000" w:sz="4" w:space="0"/>
                    <w:left w:val="single" w:color="000000" w:sz="4" w:space="0"/>
                    <w:bottom w:val="single" w:color="000000" w:sz="4" w:space="0"/>
                    <w:right w:val="single" w:color="000000" w:sz="4" w:space="0"/>
                  </w:tcBorders>
                  <w:vAlign w:val="center"/>
                </w:tcPr>
                <w:p w14:paraId="0762F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杨曙光</w:t>
                  </w:r>
                </w:p>
              </w:tc>
              <w:tc>
                <w:tcPr>
                  <w:tcW w:w="1214" w:type="dxa"/>
                  <w:tcBorders>
                    <w:top w:val="single" w:color="000000" w:sz="4" w:space="0"/>
                    <w:left w:val="single" w:color="000000" w:sz="4" w:space="0"/>
                    <w:bottom w:val="single" w:color="000000" w:sz="4" w:space="0"/>
                    <w:right w:val="single" w:color="000000" w:sz="4" w:space="0"/>
                  </w:tcBorders>
                  <w:vAlign w:val="center"/>
                </w:tcPr>
                <w:p w14:paraId="59CED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个人项目</w:t>
                  </w:r>
                </w:p>
              </w:tc>
              <w:tc>
                <w:tcPr>
                  <w:tcW w:w="1183" w:type="dxa"/>
                  <w:tcBorders>
                    <w:top w:val="single" w:color="000000" w:sz="4" w:space="0"/>
                    <w:left w:val="single" w:color="000000" w:sz="4" w:space="0"/>
                    <w:bottom w:val="single" w:color="000000" w:sz="4" w:space="0"/>
                    <w:right w:val="single" w:color="000000" w:sz="4" w:space="0"/>
                  </w:tcBorders>
                  <w:vAlign w:val="center"/>
                </w:tcPr>
                <w:p w14:paraId="1A9F7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学生赛道</w:t>
                  </w:r>
                </w:p>
              </w:tc>
              <w:tc>
                <w:tcPr>
                  <w:tcW w:w="1990" w:type="dxa"/>
                  <w:tcBorders>
                    <w:top w:val="single" w:color="000000" w:sz="4" w:space="0"/>
                    <w:left w:val="single" w:color="000000" w:sz="4" w:space="0"/>
                    <w:bottom w:val="single" w:color="000000" w:sz="4" w:space="0"/>
                    <w:right w:val="single" w:color="000000" w:sz="4" w:space="0"/>
                  </w:tcBorders>
                  <w:vAlign w:val="center"/>
                </w:tcPr>
                <w:p w14:paraId="762CC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焊接技术</w:t>
                  </w:r>
                </w:p>
              </w:tc>
              <w:tc>
                <w:tcPr>
                  <w:tcW w:w="1238" w:type="dxa"/>
                  <w:tcBorders>
                    <w:top w:val="single" w:color="000000" w:sz="4" w:space="0"/>
                    <w:left w:val="single" w:color="000000" w:sz="4" w:space="0"/>
                    <w:bottom w:val="single" w:color="000000" w:sz="4" w:space="0"/>
                    <w:right w:val="single" w:color="000000" w:sz="4" w:space="0"/>
                  </w:tcBorders>
                  <w:vAlign w:val="center"/>
                </w:tcPr>
                <w:p w14:paraId="35C57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14:paraId="3D00B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81" w:type="dxa"/>
                  <w:tcBorders>
                    <w:top w:val="single" w:color="000000" w:sz="4" w:space="0"/>
                    <w:left w:val="single" w:color="000000" w:sz="4" w:space="0"/>
                    <w:bottom w:val="single" w:color="000000" w:sz="4" w:space="0"/>
                    <w:right w:val="single" w:color="000000" w:sz="4" w:space="0"/>
                  </w:tcBorders>
                  <w:vAlign w:val="center"/>
                </w:tcPr>
                <w:p w14:paraId="31DF5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赵晨云,赵进新</w:t>
                  </w:r>
                </w:p>
              </w:tc>
              <w:tc>
                <w:tcPr>
                  <w:tcW w:w="1284" w:type="dxa"/>
                  <w:tcBorders>
                    <w:top w:val="single" w:color="000000" w:sz="4" w:space="0"/>
                    <w:left w:val="single" w:color="000000" w:sz="4" w:space="0"/>
                    <w:bottom w:val="single" w:color="000000" w:sz="4" w:space="0"/>
                    <w:right w:val="single" w:color="000000" w:sz="4" w:space="0"/>
                  </w:tcBorders>
                  <w:vAlign w:val="center"/>
                </w:tcPr>
                <w:p w14:paraId="41709E25">
                  <w:pPr>
                    <w:jc w:val="center"/>
                    <w:rPr>
                      <w:rFonts w:hint="eastAsia" w:ascii="宋体" w:hAnsi="宋体" w:eastAsia="宋体" w:cs="宋体"/>
                      <w:i w:val="0"/>
                      <w:iCs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vAlign w:val="center"/>
                </w:tcPr>
                <w:p w14:paraId="23CF4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团体项目</w:t>
                  </w:r>
                </w:p>
              </w:tc>
              <w:tc>
                <w:tcPr>
                  <w:tcW w:w="1183" w:type="dxa"/>
                  <w:tcBorders>
                    <w:top w:val="single" w:color="000000" w:sz="4" w:space="0"/>
                    <w:left w:val="single" w:color="000000" w:sz="4" w:space="0"/>
                    <w:bottom w:val="single" w:color="000000" w:sz="4" w:space="0"/>
                    <w:right w:val="single" w:color="000000" w:sz="4" w:space="0"/>
                  </w:tcBorders>
                  <w:vAlign w:val="center"/>
                </w:tcPr>
                <w:p w14:paraId="72864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师生同赛</w:t>
                  </w:r>
                </w:p>
              </w:tc>
              <w:tc>
                <w:tcPr>
                  <w:tcW w:w="1990" w:type="dxa"/>
                  <w:tcBorders>
                    <w:top w:val="single" w:color="000000" w:sz="4" w:space="0"/>
                    <w:left w:val="single" w:color="000000" w:sz="4" w:space="0"/>
                    <w:bottom w:val="single" w:color="000000" w:sz="4" w:space="0"/>
                    <w:right w:val="single" w:color="000000" w:sz="4" w:space="0"/>
                  </w:tcBorders>
                  <w:vAlign w:val="center"/>
                </w:tcPr>
                <w:p w14:paraId="50E5B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汽车维修</w:t>
                  </w:r>
                </w:p>
              </w:tc>
              <w:tc>
                <w:tcPr>
                  <w:tcW w:w="1238" w:type="dxa"/>
                  <w:tcBorders>
                    <w:top w:val="single" w:color="000000" w:sz="4" w:space="0"/>
                    <w:left w:val="single" w:color="000000" w:sz="4" w:space="0"/>
                    <w:bottom w:val="single" w:color="000000" w:sz="4" w:space="0"/>
                    <w:right w:val="single" w:color="000000" w:sz="4" w:space="0"/>
                  </w:tcBorders>
                  <w:vAlign w:val="center"/>
                </w:tcPr>
                <w:p w14:paraId="473BB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14:paraId="5664E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81" w:type="dxa"/>
                  <w:tcBorders>
                    <w:top w:val="single" w:color="000000" w:sz="4" w:space="0"/>
                    <w:left w:val="single" w:color="000000" w:sz="4" w:space="0"/>
                    <w:bottom w:val="single" w:color="000000" w:sz="4" w:space="0"/>
                    <w:right w:val="single" w:color="000000" w:sz="4" w:space="0"/>
                  </w:tcBorders>
                  <w:vAlign w:val="center"/>
                </w:tcPr>
                <w:p w14:paraId="47BD5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王宏涛,靖奇瑞</w:t>
                  </w:r>
                </w:p>
              </w:tc>
              <w:tc>
                <w:tcPr>
                  <w:tcW w:w="1284" w:type="dxa"/>
                  <w:tcBorders>
                    <w:top w:val="single" w:color="000000" w:sz="4" w:space="0"/>
                    <w:left w:val="single" w:color="000000" w:sz="4" w:space="0"/>
                    <w:bottom w:val="single" w:color="000000" w:sz="4" w:space="0"/>
                    <w:right w:val="single" w:color="000000" w:sz="4" w:space="0"/>
                  </w:tcBorders>
                  <w:vAlign w:val="center"/>
                </w:tcPr>
                <w:p w14:paraId="0C798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荆君,尚飞</w:t>
                  </w:r>
                </w:p>
              </w:tc>
              <w:tc>
                <w:tcPr>
                  <w:tcW w:w="1214" w:type="dxa"/>
                  <w:tcBorders>
                    <w:top w:val="single" w:color="000000" w:sz="4" w:space="0"/>
                    <w:left w:val="single" w:color="000000" w:sz="4" w:space="0"/>
                    <w:bottom w:val="single" w:color="000000" w:sz="4" w:space="0"/>
                    <w:right w:val="single" w:color="000000" w:sz="4" w:space="0"/>
                  </w:tcBorders>
                  <w:vAlign w:val="center"/>
                </w:tcPr>
                <w:p w14:paraId="1891A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团体项目</w:t>
                  </w:r>
                </w:p>
              </w:tc>
              <w:tc>
                <w:tcPr>
                  <w:tcW w:w="1183" w:type="dxa"/>
                  <w:tcBorders>
                    <w:top w:val="single" w:color="000000" w:sz="4" w:space="0"/>
                    <w:left w:val="single" w:color="000000" w:sz="4" w:space="0"/>
                    <w:bottom w:val="single" w:color="000000" w:sz="4" w:space="0"/>
                    <w:right w:val="single" w:color="000000" w:sz="4" w:space="0"/>
                  </w:tcBorders>
                  <w:vAlign w:val="center"/>
                </w:tcPr>
                <w:p w14:paraId="1E29C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学生赛道</w:t>
                  </w:r>
                </w:p>
              </w:tc>
              <w:tc>
                <w:tcPr>
                  <w:tcW w:w="1990" w:type="dxa"/>
                  <w:tcBorders>
                    <w:top w:val="single" w:color="000000" w:sz="4" w:space="0"/>
                    <w:left w:val="single" w:color="000000" w:sz="4" w:space="0"/>
                    <w:bottom w:val="single" w:color="000000" w:sz="4" w:space="0"/>
                    <w:right w:val="single" w:color="000000" w:sz="4" w:space="0"/>
                  </w:tcBorders>
                  <w:vAlign w:val="center"/>
                </w:tcPr>
                <w:p w14:paraId="2213B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无人机操控与维护</w:t>
                  </w:r>
                </w:p>
              </w:tc>
              <w:tc>
                <w:tcPr>
                  <w:tcW w:w="1238" w:type="dxa"/>
                  <w:tcBorders>
                    <w:top w:val="single" w:color="000000" w:sz="4" w:space="0"/>
                    <w:left w:val="single" w:color="000000" w:sz="4" w:space="0"/>
                    <w:bottom w:val="single" w:color="000000" w:sz="4" w:space="0"/>
                    <w:right w:val="single" w:color="000000" w:sz="4" w:space="0"/>
                  </w:tcBorders>
                  <w:vAlign w:val="center"/>
                </w:tcPr>
                <w:p w14:paraId="09BEB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14:paraId="2B552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81" w:type="dxa"/>
                  <w:tcBorders>
                    <w:top w:val="single" w:color="000000" w:sz="4" w:space="0"/>
                    <w:left w:val="single" w:color="000000" w:sz="4" w:space="0"/>
                    <w:bottom w:val="single" w:color="000000" w:sz="4" w:space="0"/>
                    <w:right w:val="single" w:color="000000" w:sz="4" w:space="0"/>
                  </w:tcBorders>
                  <w:vAlign w:val="center"/>
                </w:tcPr>
                <w:p w14:paraId="2A1B7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陈坤,黄旭</w:t>
                  </w:r>
                </w:p>
              </w:tc>
              <w:tc>
                <w:tcPr>
                  <w:tcW w:w="1284" w:type="dxa"/>
                  <w:tcBorders>
                    <w:top w:val="single" w:color="000000" w:sz="4" w:space="0"/>
                    <w:left w:val="single" w:color="000000" w:sz="4" w:space="0"/>
                    <w:bottom w:val="single" w:color="000000" w:sz="4" w:space="0"/>
                    <w:right w:val="single" w:color="000000" w:sz="4" w:space="0"/>
                  </w:tcBorders>
                  <w:vAlign w:val="center"/>
                </w:tcPr>
                <w:p w14:paraId="43526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荆君,尚飞</w:t>
                  </w:r>
                </w:p>
              </w:tc>
              <w:tc>
                <w:tcPr>
                  <w:tcW w:w="1214" w:type="dxa"/>
                  <w:tcBorders>
                    <w:top w:val="single" w:color="000000" w:sz="4" w:space="0"/>
                    <w:left w:val="single" w:color="000000" w:sz="4" w:space="0"/>
                    <w:bottom w:val="single" w:color="000000" w:sz="4" w:space="0"/>
                    <w:right w:val="single" w:color="000000" w:sz="4" w:space="0"/>
                  </w:tcBorders>
                  <w:vAlign w:val="center"/>
                </w:tcPr>
                <w:p w14:paraId="53368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团体项目</w:t>
                  </w:r>
                </w:p>
              </w:tc>
              <w:tc>
                <w:tcPr>
                  <w:tcW w:w="1183" w:type="dxa"/>
                  <w:tcBorders>
                    <w:top w:val="single" w:color="000000" w:sz="4" w:space="0"/>
                    <w:left w:val="single" w:color="000000" w:sz="4" w:space="0"/>
                    <w:bottom w:val="single" w:color="000000" w:sz="4" w:space="0"/>
                    <w:right w:val="single" w:color="000000" w:sz="4" w:space="0"/>
                  </w:tcBorders>
                  <w:vAlign w:val="center"/>
                </w:tcPr>
                <w:p w14:paraId="5E1AB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学生赛道</w:t>
                  </w:r>
                </w:p>
              </w:tc>
              <w:tc>
                <w:tcPr>
                  <w:tcW w:w="1990" w:type="dxa"/>
                  <w:tcBorders>
                    <w:top w:val="single" w:color="000000" w:sz="4" w:space="0"/>
                    <w:left w:val="single" w:color="000000" w:sz="4" w:space="0"/>
                    <w:bottom w:val="single" w:color="000000" w:sz="4" w:space="0"/>
                    <w:right w:val="single" w:color="000000" w:sz="4" w:space="0"/>
                  </w:tcBorders>
                  <w:vAlign w:val="center"/>
                </w:tcPr>
                <w:p w14:paraId="29DAE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无人机操控与维护</w:t>
                  </w:r>
                </w:p>
              </w:tc>
              <w:tc>
                <w:tcPr>
                  <w:tcW w:w="1238" w:type="dxa"/>
                  <w:tcBorders>
                    <w:top w:val="single" w:color="000000" w:sz="4" w:space="0"/>
                    <w:left w:val="single" w:color="000000" w:sz="4" w:space="0"/>
                    <w:bottom w:val="single" w:color="000000" w:sz="4" w:space="0"/>
                    <w:right w:val="single" w:color="000000" w:sz="4" w:space="0"/>
                  </w:tcBorders>
                  <w:vAlign w:val="center"/>
                </w:tcPr>
                <w:p w14:paraId="1A5FA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14:paraId="77C80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81" w:type="dxa"/>
                  <w:tcBorders>
                    <w:top w:val="single" w:color="000000" w:sz="4" w:space="0"/>
                    <w:left w:val="single" w:color="000000" w:sz="4" w:space="0"/>
                    <w:bottom w:val="single" w:color="000000" w:sz="4" w:space="0"/>
                    <w:right w:val="single" w:color="000000" w:sz="4" w:space="0"/>
                  </w:tcBorders>
                  <w:vAlign w:val="center"/>
                </w:tcPr>
                <w:p w14:paraId="091DB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裴锦天,赵阳旋</w:t>
                  </w:r>
                </w:p>
              </w:tc>
              <w:tc>
                <w:tcPr>
                  <w:tcW w:w="1284" w:type="dxa"/>
                  <w:tcBorders>
                    <w:top w:val="single" w:color="000000" w:sz="4" w:space="0"/>
                    <w:left w:val="single" w:color="000000" w:sz="4" w:space="0"/>
                    <w:bottom w:val="single" w:color="000000" w:sz="4" w:space="0"/>
                    <w:right w:val="single" w:color="000000" w:sz="4" w:space="0"/>
                  </w:tcBorders>
                  <w:vAlign w:val="center"/>
                </w:tcPr>
                <w:p w14:paraId="784155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董岩军</w:t>
                  </w:r>
                </w:p>
                <w:p w14:paraId="169D3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张峥嵘</w:t>
                  </w:r>
                </w:p>
              </w:tc>
              <w:tc>
                <w:tcPr>
                  <w:tcW w:w="1214" w:type="dxa"/>
                  <w:tcBorders>
                    <w:top w:val="single" w:color="000000" w:sz="4" w:space="0"/>
                    <w:left w:val="single" w:color="000000" w:sz="4" w:space="0"/>
                    <w:bottom w:val="single" w:color="000000" w:sz="4" w:space="0"/>
                    <w:right w:val="single" w:color="000000" w:sz="4" w:space="0"/>
                  </w:tcBorders>
                  <w:vAlign w:val="center"/>
                </w:tcPr>
                <w:p w14:paraId="140E2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团体项目</w:t>
                  </w:r>
                </w:p>
              </w:tc>
              <w:tc>
                <w:tcPr>
                  <w:tcW w:w="1183" w:type="dxa"/>
                  <w:tcBorders>
                    <w:top w:val="single" w:color="000000" w:sz="4" w:space="0"/>
                    <w:left w:val="single" w:color="000000" w:sz="4" w:space="0"/>
                    <w:bottom w:val="single" w:color="000000" w:sz="4" w:space="0"/>
                    <w:right w:val="single" w:color="000000" w:sz="4" w:space="0"/>
                  </w:tcBorders>
                  <w:vAlign w:val="center"/>
                </w:tcPr>
                <w:p w14:paraId="28AB1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学生赛道</w:t>
                  </w:r>
                </w:p>
              </w:tc>
              <w:tc>
                <w:tcPr>
                  <w:tcW w:w="1990" w:type="dxa"/>
                  <w:tcBorders>
                    <w:top w:val="single" w:color="000000" w:sz="4" w:space="0"/>
                    <w:left w:val="single" w:color="000000" w:sz="4" w:space="0"/>
                    <w:bottom w:val="single" w:color="000000" w:sz="4" w:space="0"/>
                    <w:right w:val="single" w:color="000000" w:sz="4" w:space="0"/>
                  </w:tcBorders>
                  <w:vAlign w:val="center"/>
                </w:tcPr>
                <w:p w14:paraId="03D08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通用机电设备安装与调试</w:t>
                  </w:r>
                </w:p>
              </w:tc>
              <w:tc>
                <w:tcPr>
                  <w:tcW w:w="1238" w:type="dxa"/>
                  <w:tcBorders>
                    <w:top w:val="single" w:color="000000" w:sz="4" w:space="0"/>
                    <w:left w:val="single" w:color="000000" w:sz="4" w:space="0"/>
                    <w:bottom w:val="single" w:color="000000" w:sz="4" w:space="0"/>
                    <w:right w:val="single" w:color="000000" w:sz="4" w:space="0"/>
                  </w:tcBorders>
                  <w:vAlign w:val="center"/>
                </w:tcPr>
                <w:p w14:paraId="25E8E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14:paraId="24A80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81" w:type="dxa"/>
                  <w:tcBorders>
                    <w:top w:val="single" w:color="000000" w:sz="4" w:space="0"/>
                    <w:left w:val="single" w:color="000000" w:sz="4" w:space="0"/>
                    <w:bottom w:val="single" w:color="000000" w:sz="4" w:space="0"/>
                    <w:right w:val="single" w:color="000000" w:sz="4" w:space="0"/>
                  </w:tcBorders>
                  <w:vAlign w:val="center"/>
                </w:tcPr>
                <w:p w14:paraId="37D66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杨泽伦</w:t>
                  </w:r>
                </w:p>
              </w:tc>
              <w:tc>
                <w:tcPr>
                  <w:tcW w:w="1284" w:type="dxa"/>
                  <w:tcBorders>
                    <w:top w:val="single" w:color="000000" w:sz="4" w:space="0"/>
                    <w:left w:val="single" w:color="000000" w:sz="4" w:space="0"/>
                    <w:bottom w:val="single" w:color="000000" w:sz="4" w:space="0"/>
                    <w:right w:val="single" w:color="000000" w:sz="4" w:space="0"/>
                  </w:tcBorders>
                  <w:vAlign w:val="center"/>
                </w:tcPr>
                <w:p w14:paraId="42FBC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董文杰</w:t>
                  </w:r>
                </w:p>
              </w:tc>
              <w:tc>
                <w:tcPr>
                  <w:tcW w:w="1214" w:type="dxa"/>
                  <w:tcBorders>
                    <w:top w:val="single" w:color="000000" w:sz="4" w:space="0"/>
                    <w:left w:val="single" w:color="000000" w:sz="4" w:space="0"/>
                    <w:bottom w:val="single" w:color="000000" w:sz="4" w:space="0"/>
                    <w:right w:val="single" w:color="000000" w:sz="4" w:space="0"/>
                  </w:tcBorders>
                  <w:vAlign w:val="center"/>
                </w:tcPr>
                <w:p w14:paraId="3F69F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个人项目</w:t>
                  </w:r>
                </w:p>
              </w:tc>
              <w:tc>
                <w:tcPr>
                  <w:tcW w:w="1183" w:type="dxa"/>
                  <w:tcBorders>
                    <w:top w:val="single" w:color="000000" w:sz="4" w:space="0"/>
                    <w:left w:val="single" w:color="000000" w:sz="4" w:space="0"/>
                    <w:bottom w:val="single" w:color="000000" w:sz="4" w:space="0"/>
                    <w:right w:val="single" w:color="000000" w:sz="4" w:space="0"/>
                  </w:tcBorders>
                  <w:vAlign w:val="center"/>
                </w:tcPr>
                <w:p w14:paraId="13BD4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学生赛道</w:t>
                  </w:r>
                </w:p>
              </w:tc>
              <w:tc>
                <w:tcPr>
                  <w:tcW w:w="1990" w:type="dxa"/>
                  <w:tcBorders>
                    <w:top w:val="single" w:color="000000" w:sz="4" w:space="0"/>
                    <w:left w:val="single" w:color="000000" w:sz="4" w:space="0"/>
                    <w:bottom w:val="single" w:color="000000" w:sz="4" w:space="0"/>
                    <w:right w:val="single" w:color="000000" w:sz="4" w:space="0"/>
                  </w:tcBorders>
                  <w:vAlign w:val="center"/>
                </w:tcPr>
                <w:p w14:paraId="5B5B1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电子产品设计与应用</w:t>
                  </w:r>
                </w:p>
              </w:tc>
              <w:tc>
                <w:tcPr>
                  <w:tcW w:w="1238" w:type="dxa"/>
                  <w:tcBorders>
                    <w:top w:val="single" w:color="000000" w:sz="4" w:space="0"/>
                    <w:left w:val="single" w:color="000000" w:sz="4" w:space="0"/>
                    <w:bottom w:val="single" w:color="000000" w:sz="4" w:space="0"/>
                    <w:right w:val="single" w:color="000000" w:sz="4" w:space="0"/>
                  </w:tcBorders>
                  <w:vAlign w:val="center"/>
                </w:tcPr>
                <w:p w14:paraId="2D758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14:paraId="4203A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81" w:type="dxa"/>
                  <w:tcBorders>
                    <w:top w:val="single" w:color="000000" w:sz="4" w:space="0"/>
                    <w:left w:val="single" w:color="000000" w:sz="4" w:space="0"/>
                    <w:bottom w:val="single" w:color="000000" w:sz="4" w:space="0"/>
                    <w:right w:val="single" w:color="000000" w:sz="4" w:space="0"/>
                  </w:tcBorders>
                  <w:vAlign w:val="center"/>
                </w:tcPr>
                <w:p w14:paraId="29890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陈勇</w:t>
                  </w:r>
                </w:p>
              </w:tc>
              <w:tc>
                <w:tcPr>
                  <w:tcW w:w="1284" w:type="dxa"/>
                  <w:tcBorders>
                    <w:top w:val="single" w:color="000000" w:sz="4" w:space="0"/>
                    <w:left w:val="single" w:color="000000" w:sz="4" w:space="0"/>
                    <w:bottom w:val="single" w:color="000000" w:sz="4" w:space="0"/>
                    <w:right w:val="single" w:color="000000" w:sz="4" w:space="0"/>
                  </w:tcBorders>
                  <w:vAlign w:val="center"/>
                </w:tcPr>
                <w:p w14:paraId="643A8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聂海峰</w:t>
                  </w:r>
                </w:p>
              </w:tc>
              <w:tc>
                <w:tcPr>
                  <w:tcW w:w="1214" w:type="dxa"/>
                  <w:tcBorders>
                    <w:top w:val="single" w:color="000000" w:sz="4" w:space="0"/>
                    <w:left w:val="single" w:color="000000" w:sz="4" w:space="0"/>
                    <w:bottom w:val="single" w:color="000000" w:sz="4" w:space="0"/>
                    <w:right w:val="single" w:color="000000" w:sz="4" w:space="0"/>
                  </w:tcBorders>
                  <w:vAlign w:val="center"/>
                </w:tcPr>
                <w:p w14:paraId="5CF5D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个人项目</w:t>
                  </w:r>
                </w:p>
              </w:tc>
              <w:tc>
                <w:tcPr>
                  <w:tcW w:w="1183" w:type="dxa"/>
                  <w:tcBorders>
                    <w:top w:val="single" w:color="000000" w:sz="4" w:space="0"/>
                    <w:left w:val="single" w:color="000000" w:sz="4" w:space="0"/>
                    <w:bottom w:val="single" w:color="000000" w:sz="4" w:space="0"/>
                    <w:right w:val="single" w:color="000000" w:sz="4" w:space="0"/>
                  </w:tcBorders>
                  <w:vAlign w:val="center"/>
                </w:tcPr>
                <w:p w14:paraId="148F7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学生赛道</w:t>
                  </w:r>
                </w:p>
              </w:tc>
              <w:tc>
                <w:tcPr>
                  <w:tcW w:w="1990" w:type="dxa"/>
                  <w:tcBorders>
                    <w:top w:val="single" w:color="000000" w:sz="4" w:space="0"/>
                    <w:left w:val="single" w:color="000000" w:sz="4" w:space="0"/>
                    <w:bottom w:val="single" w:color="000000" w:sz="4" w:space="0"/>
                    <w:right w:val="single" w:color="000000" w:sz="4" w:space="0"/>
                  </w:tcBorders>
                  <w:vAlign w:val="center"/>
                </w:tcPr>
                <w:p w14:paraId="6997E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汽车车身修复与美容</w:t>
                  </w:r>
                </w:p>
              </w:tc>
              <w:tc>
                <w:tcPr>
                  <w:tcW w:w="1238" w:type="dxa"/>
                  <w:tcBorders>
                    <w:top w:val="single" w:color="000000" w:sz="4" w:space="0"/>
                    <w:left w:val="single" w:color="000000" w:sz="4" w:space="0"/>
                    <w:bottom w:val="single" w:color="000000" w:sz="4" w:space="0"/>
                    <w:right w:val="single" w:color="000000" w:sz="4" w:space="0"/>
                  </w:tcBorders>
                  <w:vAlign w:val="center"/>
                </w:tcPr>
                <w:p w14:paraId="50608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14:paraId="6FA73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81" w:type="dxa"/>
                  <w:tcBorders>
                    <w:top w:val="single" w:color="000000" w:sz="4" w:space="0"/>
                    <w:left w:val="single" w:color="000000" w:sz="4" w:space="0"/>
                    <w:bottom w:val="single" w:color="000000" w:sz="4" w:space="0"/>
                    <w:right w:val="single" w:color="000000" w:sz="4" w:space="0"/>
                  </w:tcBorders>
                  <w:vAlign w:val="center"/>
                </w:tcPr>
                <w:p w14:paraId="07550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曹洪菠</w:t>
                  </w:r>
                </w:p>
              </w:tc>
              <w:tc>
                <w:tcPr>
                  <w:tcW w:w="1284" w:type="dxa"/>
                  <w:tcBorders>
                    <w:top w:val="single" w:color="000000" w:sz="4" w:space="0"/>
                    <w:left w:val="single" w:color="000000" w:sz="4" w:space="0"/>
                    <w:bottom w:val="single" w:color="000000" w:sz="4" w:space="0"/>
                    <w:right w:val="single" w:color="000000" w:sz="4" w:space="0"/>
                  </w:tcBorders>
                  <w:vAlign w:val="center"/>
                </w:tcPr>
                <w:p w14:paraId="4D3BE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赵国正</w:t>
                  </w:r>
                </w:p>
              </w:tc>
              <w:tc>
                <w:tcPr>
                  <w:tcW w:w="1214" w:type="dxa"/>
                  <w:tcBorders>
                    <w:top w:val="single" w:color="000000" w:sz="4" w:space="0"/>
                    <w:left w:val="single" w:color="000000" w:sz="4" w:space="0"/>
                    <w:bottom w:val="single" w:color="000000" w:sz="4" w:space="0"/>
                    <w:right w:val="single" w:color="000000" w:sz="4" w:space="0"/>
                  </w:tcBorders>
                  <w:vAlign w:val="center"/>
                </w:tcPr>
                <w:p w14:paraId="11405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个人项目</w:t>
                  </w:r>
                </w:p>
              </w:tc>
              <w:tc>
                <w:tcPr>
                  <w:tcW w:w="1183" w:type="dxa"/>
                  <w:tcBorders>
                    <w:top w:val="single" w:color="000000" w:sz="4" w:space="0"/>
                    <w:left w:val="single" w:color="000000" w:sz="4" w:space="0"/>
                    <w:bottom w:val="single" w:color="000000" w:sz="4" w:space="0"/>
                    <w:right w:val="single" w:color="000000" w:sz="4" w:space="0"/>
                  </w:tcBorders>
                  <w:vAlign w:val="center"/>
                </w:tcPr>
                <w:p w14:paraId="636C0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学生赛道</w:t>
                  </w:r>
                </w:p>
              </w:tc>
              <w:tc>
                <w:tcPr>
                  <w:tcW w:w="1990" w:type="dxa"/>
                  <w:tcBorders>
                    <w:top w:val="single" w:color="000000" w:sz="4" w:space="0"/>
                    <w:left w:val="single" w:color="000000" w:sz="4" w:space="0"/>
                    <w:bottom w:val="single" w:color="000000" w:sz="4" w:space="0"/>
                    <w:right w:val="single" w:color="000000" w:sz="4" w:space="0"/>
                  </w:tcBorders>
                  <w:vAlign w:val="center"/>
                </w:tcPr>
                <w:p w14:paraId="63D69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汽车车身修复与美容</w:t>
                  </w:r>
                </w:p>
              </w:tc>
              <w:tc>
                <w:tcPr>
                  <w:tcW w:w="1238" w:type="dxa"/>
                  <w:tcBorders>
                    <w:top w:val="single" w:color="000000" w:sz="4" w:space="0"/>
                    <w:left w:val="single" w:color="000000" w:sz="4" w:space="0"/>
                    <w:bottom w:val="single" w:color="000000" w:sz="4" w:space="0"/>
                    <w:right w:val="single" w:color="000000" w:sz="4" w:space="0"/>
                  </w:tcBorders>
                  <w:vAlign w:val="center"/>
                </w:tcPr>
                <w:p w14:paraId="0EC1B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14:paraId="5E5BA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81" w:type="dxa"/>
                  <w:tcBorders>
                    <w:top w:val="single" w:color="000000" w:sz="4" w:space="0"/>
                    <w:left w:val="single" w:color="000000" w:sz="4" w:space="0"/>
                    <w:bottom w:val="single" w:color="000000" w:sz="4" w:space="0"/>
                    <w:right w:val="single" w:color="000000" w:sz="4" w:space="0"/>
                  </w:tcBorders>
                  <w:vAlign w:val="center"/>
                </w:tcPr>
                <w:p w14:paraId="469EE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伊海成</w:t>
                  </w:r>
                </w:p>
              </w:tc>
              <w:tc>
                <w:tcPr>
                  <w:tcW w:w="1284" w:type="dxa"/>
                  <w:tcBorders>
                    <w:top w:val="single" w:color="000000" w:sz="4" w:space="0"/>
                    <w:left w:val="single" w:color="000000" w:sz="4" w:space="0"/>
                    <w:bottom w:val="single" w:color="000000" w:sz="4" w:space="0"/>
                    <w:right w:val="single" w:color="000000" w:sz="4" w:space="0"/>
                  </w:tcBorders>
                  <w:vAlign w:val="center"/>
                </w:tcPr>
                <w:p w14:paraId="04DFD699">
                  <w:pPr>
                    <w:jc w:val="center"/>
                    <w:rPr>
                      <w:rFonts w:hint="eastAsia" w:ascii="宋体" w:hAnsi="宋体" w:eastAsia="宋体" w:cs="宋体"/>
                      <w:i w:val="0"/>
                      <w:iCs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vAlign w:val="center"/>
                </w:tcPr>
                <w:p w14:paraId="301AA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个人项目</w:t>
                  </w:r>
                </w:p>
              </w:tc>
              <w:tc>
                <w:tcPr>
                  <w:tcW w:w="1183" w:type="dxa"/>
                  <w:tcBorders>
                    <w:top w:val="single" w:color="000000" w:sz="4" w:space="0"/>
                    <w:left w:val="single" w:color="000000" w:sz="4" w:space="0"/>
                    <w:bottom w:val="single" w:color="000000" w:sz="4" w:space="0"/>
                    <w:right w:val="single" w:color="000000" w:sz="4" w:space="0"/>
                  </w:tcBorders>
                  <w:vAlign w:val="center"/>
                </w:tcPr>
                <w:p w14:paraId="7F06F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教师赛道</w:t>
                  </w:r>
                </w:p>
              </w:tc>
              <w:tc>
                <w:tcPr>
                  <w:tcW w:w="1990" w:type="dxa"/>
                  <w:tcBorders>
                    <w:top w:val="single" w:color="000000" w:sz="4" w:space="0"/>
                    <w:left w:val="single" w:color="000000" w:sz="4" w:space="0"/>
                    <w:bottom w:val="single" w:color="000000" w:sz="4" w:space="0"/>
                    <w:right w:val="single" w:color="000000" w:sz="4" w:space="0"/>
                  </w:tcBorders>
                  <w:vAlign w:val="center"/>
                </w:tcPr>
                <w:p w14:paraId="048E0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汽车车身修复与美容</w:t>
                  </w:r>
                </w:p>
              </w:tc>
              <w:tc>
                <w:tcPr>
                  <w:tcW w:w="1238" w:type="dxa"/>
                  <w:tcBorders>
                    <w:top w:val="single" w:color="000000" w:sz="4" w:space="0"/>
                    <w:left w:val="single" w:color="000000" w:sz="4" w:space="0"/>
                    <w:bottom w:val="single" w:color="000000" w:sz="4" w:space="0"/>
                    <w:right w:val="single" w:color="000000" w:sz="4" w:space="0"/>
                  </w:tcBorders>
                  <w:vAlign w:val="center"/>
                </w:tcPr>
                <w:p w14:paraId="5403B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14:paraId="76EB9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81" w:type="dxa"/>
                  <w:tcBorders>
                    <w:top w:val="single" w:color="000000" w:sz="4" w:space="0"/>
                    <w:left w:val="single" w:color="000000" w:sz="4" w:space="0"/>
                    <w:bottom w:val="single" w:color="000000" w:sz="4" w:space="0"/>
                    <w:right w:val="single" w:color="000000" w:sz="4" w:space="0"/>
                  </w:tcBorders>
                  <w:vAlign w:val="center"/>
                </w:tcPr>
                <w:p w14:paraId="377D8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郭钰财,陈怡帆,王晓</w:t>
                  </w:r>
                </w:p>
              </w:tc>
              <w:tc>
                <w:tcPr>
                  <w:tcW w:w="1284" w:type="dxa"/>
                  <w:tcBorders>
                    <w:top w:val="single" w:color="000000" w:sz="4" w:space="0"/>
                    <w:left w:val="single" w:color="000000" w:sz="4" w:space="0"/>
                    <w:bottom w:val="single" w:color="000000" w:sz="4" w:space="0"/>
                    <w:right w:val="single" w:color="000000" w:sz="4" w:space="0"/>
                  </w:tcBorders>
                  <w:vAlign w:val="center"/>
                </w:tcPr>
                <w:p w14:paraId="2A2AF4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董素雅</w:t>
                  </w:r>
                </w:p>
                <w:p w14:paraId="1EB5F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  雁</w:t>
                  </w:r>
                </w:p>
              </w:tc>
              <w:tc>
                <w:tcPr>
                  <w:tcW w:w="1214" w:type="dxa"/>
                  <w:tcBorders>
                    <w:top w:val="single" w:color="000000" w:sz="4" w:space="0"/>
                    <w:left w:val="single" w:color="000000" w:sz="4" w:space="0"/>
                    <w:bottom w:val="single" w:color="000000" w:sz="4" w:space="0"/>
                    <w:right w:val="single" w:color="000000" w:sz="4" w:space="0"/>
                  </w:tcBorders>
                  <w:vAlign w:val="center"/>
                </w:tcPr>
                <w:p w14:paraId="48AF8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团体项目</w:t>
                  </w:r>
                </w:p>
              </w:tc>
              <w:tc>
                <w:tcPr>
                  <w:tcW w:w="1183" w:type="dxa"/>
                  <w:tcBorders>
                    <w:top w:val="single" w:color="000000" w:sz="4" w:space="0"/>
                    <w:left w:val="single" w:color="000000" w:sz="4" w:space="0"/>
                    <w:bottom w:val="single" w:color="000000" w:sz="4" w:space="0"/>
                    <w:right w:val="single" w:color="000000" w:sz="4" w:space="0"/>
                  </w:tcBorders>
                  <w:vAlign w:val="center"/>
                </w:tcPr>
                <w:p w14:paraId="7C9B0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学生赛道</w:t>
                  </w:r>
                </w:p>
              </w:tc>
              <w:tc>
                <w:tcPr>
                  <w:tcW w:w="1990" w:type="dxa"/>
                  <w:tcBorders>
                    <w:top w:val="single" w:color="000000" w:sz="4" w:space="0"/>
                    <w:left w:val="single" w:color="000000" w:sz="4" w:space="0"/>
                    <w:bottom w:val="single" w:color="000000" w:sz="4" w:space="0"/>
                    <w:right w:val="single" w:color="000000" w:sz="4" w:space="0"/>
                  </w:tcBorders>
                  <w:vAlign w:val="center"/>
                </w:tcPr>
                <w:p w14:paraId="543C1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法律实务</w:t>
                  </w:r>
                </w:p>
              </w:tc>
              <w:tc>
                <w:tcPr>
                  <w:tcW w:w="1238" w:type="dxa"/>
                  <w:tcBorders>
                    <w:top w:val="single" w:color="000000" w:sz="4" w:space="0"/>
                    <w:left w:val="single" w:color="000000" w:sz="4" w:space="0"/>
                    <w:bottom w:val="single" w:color="000000" w:sz="4" w:space="0"/>
                    <w:right w:val="single" w:color="000000" w:sz="4" w:space="0"/>
                  </w:tcBorders>
                  <w:vAlign w:val="center"/>
                </w:tcPr>
                <w:p w14:paraId="25898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14:paraId="2539E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81" w:type="dxa"/>
                  <w:tcBorders>
                    <w:top w:val="single" w:color="000000" w:sz="4" w:space="0"/>
                    <w:left w:val="single" w:color="000000" w:sz="4" w:space="0"/>
                    <w:bottom w:val="nil"/>
                    <w:right w:val="single" w:color="000000" w:sz="4" w:space="0"/>
                  </w:tcBorders>
                  <w:vAlign w:val="center"/>
                </w:tcPr>
                <w:p w14:paraId="3D2CF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刘雁</w:t>
                  </w:r>
                </w:p>
              </w:tc>
              <w:tc>
                <w:tcPr>
                  <w:tcW w:w="1284" w:type="dxa"/>
                  <w:tcBorders>
                    <w:top w:val="single" w:color="000000" w:sz="4" w:space="0"/>
                    <w:left w:val="single" w:color="000000" w:sz="4" w:space="0"/>
                    <w:bottom w:val="nil"/>
                    <w:right w:val="single" w:color="000000" w:sz="4" w:space="0"/>
                  </w:tcBorders>
                  <w:vAlign w:val="center"/>
                </w:tcPr>
                <w:p w14:paraId="09CFFF8A">
                  <w:pPr>
                    <w:jc w:val="center"/>
                    <w:rPr>
                      <w:rFonts w:hint="eastAsia" w:ascii="宋体" w:hAnsi="宋体" w:eastAsia="宋体" w:cs="宋体"/>
                      <w:i w:val="0"/>
                      <w:iCs w:val="0"/>
                      <w:color w:val="000000"/>
                      <w:sz w:val="22"/>
                      <w:szCs w:val="22"/>
                      <w:u w:val="none"/>
                    </w:rPr>
                  </w:pPr>
                </w:p>
              </w:tc>
              <w:tc>
                <w:tcPr>
                  <w:tcW w:w="1214" w:type="dxa"/>
                  <w:tcBorders>
                    <w:top w:val="single" w:color="000000" w:sz="4" w:space="0"/>
                    <w:left w:val="single" w:color="000000" w:sz="4" w:space="0"/>
                    <w:bottom w:val="nil"/>
                    <w:right w:val="single" w:color="000000" w:sz="4" w:space="0"/>
                  </w:tcBorders>
                  <w:vAlign w:val="center"/>
                </w:tcPr>
                <w:p w14:paraId="27789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个人项目</w:t>
                  </w:r>
                </w:p>
              </w:tc>
              <w:tc>
                <w:tcPr>
                  <w:tcW w:w="1183" w:type="dxa"/>
                  <w:tcBorders>
                    <w:top w:val="single" w:color="000000" w:sz="4" w:space="0"/>
                    <w:left w:val="single" w:color="000000" w:sz="4" w:space="0"/>
                    <w:bottom w:val="nil"/>
                    <w:right w:val="single" w:color="000000" w:sz="4" w:space="0"/>
                  </w:tcBorders>
                  <w:vAlign w:val="center"/>
                </w:tcPr>
                <w:p w14:paraId="47CFC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教师赛道</w:t>
                  </w:r>
                </w:p>
              </w:tc>
              <w:tc>
                <w:tcPr>
                  <w:tcW w:w="1990" w:type="dxa"/>
                  <w:tcBorders>
                    <w:top w:val="single" w:color="000000" w:sz="4" w:space="0"/>
                    <w:left w:val="single" w:color="000000" w:sz="4" w:space="0"/>
                    <w:bottom w:val="nil"/>
                    <w:right w:val="single" w:color="000000" w:sz="4" w:space="0"/>
                  </w:tcBorders>
                  <w:vAlign w:val="center"/>
                </w:tcPr>
                <w:p w14:paraId="28EBE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法律实务</w:t>
                  </w:r>
                </w:p>
              </w:tc>
              <w:tc>
                <w:tcPr>
                  <w:tcW w:w="1238" w:type="dxa"/>
                  <w:tcBorders>
                    <w:top w:val="single" w:color="000000" w:sz="4" w:space="0"/>
                    <w:left w:val="single" w:color="000000" w:sz="4" w:space="0"/>
                    <w:bottom w:val="nil"/>
                    <w:right w:val="single" w:color="000000" w:sz="4" w:space="0"/>
                  </w:tcBorders>
                  <w:vAlign w:val="center"/>
                </w:tcPr>
                <w:p w14:paraId="42EAC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14:paraId="60DC9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81" w:type="dxa"/>
                  <w:tcBorders>
                    <w:top w:val="single" w:color="000000" w:sz="4" w:space="0"/>
                    <w:left w:val="single" w:color="000000" w:sz="4" w:space="0"/>
                    <w:bottom w:val="single" w:color="000000" w:sz="4" w:space="0"/>
                    <w:right w:val="single" w:color="000000" w:sz="4" w:space="0"/>
                  </w:tcBorders>
                  <w:vAlign w:val="center"/>
                </w:tcPr>
                <w:p w14:paraId="5234E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李渊锦,史志伟</w:t>
                  </w:r>
                </w:p>
              </w:tc>
              <w:tc>
                <w:tcPr>
                  <w:tcW w:w="1284" w:type="dxa"/>
                  <w:tcBorders>
                    <w:top w:val="single" w:color="000000" w:sz="4" w:space="0"/>
                    <w:left w:val="single" w:color="000000" w:sz="4" w:space="0"/>
                    <w:bottom w:val="single" w:color="000000" w:sz="4" w:space="0"/>
                    <w:right w:val="single" w:color="000000" w:sz="4" w:space="0"/>
                  </w:tcBorders>
                  <w:vAlign w:val="center"/>
                </w:tcPr>
                <w:p w14:paraId="2D44C7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赵国正</w:t>
                  </w:r>
                </w:p>
                <w:p w14:paraId="7D85A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关广成</w:t>
                  </w:r>
                </w:p>
              </w:tc>
              <w:tc>
                <w:tcPr>
                  <w:tcW w:w="1214" w:type="dxa"/>
                  <w:tcBorders>
                    <w:top w:val="single" w:color="000000" w:sz="4" w:space="0"/>
                    <w:left w:val="single" w:color="000000" w:sz="4" w:space="0"/>
                    <w:bottom w:val="single" w:color="000000" w:sz="4" w:space="0"/>
                    <w:right w:val="single" w:color="000000" w:sz="4" w:space="0"/>
                  </w:tcBorders>
                  <w:vAlign w:val="center"/>
                </w:tcPr>
                <w:p w14:paraId="025D5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团体项目</w:t>
                  </w:r>
                </w:p>
              </w:tc>
              <w:tc>
                <w:tcPr>
                  <w:tcW w:w="1183" w:type="dxa"/>
                  <w:tcBorders>
                    <w:top w:val="single" w:color="000000" w:sz="4" w:space="0"/>
                    <w:left w:val="single" w:color="000000" w:sz="4" w:space="0"/>
                    <w:bottom w:val="single" w:color="000000" w:sz="4" w:space="0"/>
                    <w:right w:val="single" w:color="000000" w:sz="4" w:space="0"/>
                  </w:tcBorders>
                  <w:vAlign w:val="center"/>
                </w:tcPr>
                <w:p w14:paraId="73BCF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学生赛道</w:t>
                  </w:r>
                </w:p>
              </w:tc>
              <w:tc>
                <w:tcPr>
                  <w:tcW w:w="1990" w:type="dxa"/>
                  <w:tcBorders>
                    <w:top w:val="single" w:color="000000" w:sz="4" w:space="0"/>
                    <w:left w:val="single" w:color="000000" w:sz="4" w:space="0"/>
                    <w:bottom w:val="single" w:color="000000" w:sz="4" w:space="0"/>
                    <w:right w:val="single" w:color="000000" w:sz="4" w:space="0"/>
                  </w:tcBorders>
                  <w:vAlign w:val="center"/>
                </w:tcPr>
                <w:p w14:paraId="53D11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新能源汽车维修</w:t>
                  </w:r>
                </w:p>
              </w:tc>
              <w:tc>
                <w:tcPr>
                  <w:tcW w:w="1238" w:type="dxa"/>
                  <w:tcBorders>
                    <w:top w:val="single" w:color="000000" w:sz="4" w:space="0"/>
                    <w:left w:val="single" w:color="000000" w:sz="4" w:space="0"/>
                    <w:bottom w:val="single" w:color="000000" w:sz="4" w:space="0"/>
                    <w:right w:val="single" w:color="000000" w:sz="4" w:space="0"/>
                  </w:tcBorders>
                  <w:vAlign w:val="center"/>
                </w:tcPr>
                <w:p w14:paraId="5A20D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14:paraId="6D6CE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81" w:type="dxa"/>
                  <w:tcBorders>
                    <w:top w:val="single" w:color="000000" w:sz="4" w:space="0"/>
                    <w:left w:val="single" w:color="000000" w:sz="4" w:space="0"/>
                    <w:bottom w:val="single" w:color="000000" w:sz="4" w:space="0"/>
                    <w:right w:val="single" w:color="000000" w:sz="4" w:space="0"/>
                  </w:tcBorders>
                  <w:vAlign w:val="center"/>
                </w:tcPr>
                <w:p w14:paraId="47B54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仝筱茹</w:t>
                  </w:r>
                </w:p>
              </w:tc>
              <w:tc>
                <w:tcPr>
                  <w:tcW w:w="1284" w:type="dxa"/>
                  <w:tcBorders>
                    <w:top w:val="single" w:color="000000" w:sz="4" w:space="0"/>
                    <w:left w:val="single" w:color="000000" w:sz="4" w:space="0"/>
                    <w:bottom w:val="single" w:color="000000" w:sz="4" w:space="0"/>
                    <w:right w:val="single" w:color="000000" w:sz="4" w:space="0"/>
                  </w:tcBorders>
                  <w:vAlign w:val="center"/>
                </w:tcPr>
                <w:p w14:paraId="722C6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王晓慧</w:t>
                  </w:r>
                </w:p>
              </w:tc>
              <w:tc>
                <w:tcPr>
                  <w:tcW w:w="1214" w:type="dxa"/>
                  <w:tcBorders>
                    <w:top w:val="single" w:color="000000" w:sz="4" w:space="0"/>
                    <w:left w:val="single" w:color="000000" w:sz="4" w:space="0"/>
                    <w:bottom w:val="single" w:color="000000" w:sz="4" w:space="0"/>
                    <w:right w:val="single" w:color="000000" w:sz="4" w:space="0"/>
                  </w:tcBorders>
                  <w:vAlign w:val="center"/>
                </w:tcPr>
                <w:p w14:paraId="6C424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个人项目</w:t>
                  </w:r>
                </w:p>
              </w:tc>
              <w:tc>
                <w:tcPr>
                  <w:tcW w:w="1183" w:type="dxa"/>
                  <w:tcBorders>
                    <w:top w:val="single" w:color="000000" w:sz="4" w:space="0"/>
                    <w:left w:val="single" w:color="000000" w:sz="4" w:space="0"/>
                    <w:bottom w:val="single" w:color="000000" w:sz="4" w:space="0"/>
                    <w:right w:val="single" w:color="000000" w:sz="4" w:space="0"/>
                  </w:tcBorders>
                  <w:vAlign w:val="center"/>
                </w:tcPr>
                <w:p w14:paraId="48095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学生赛道</w:t>
                  </w:r>
                </w:p>
              </w:tc>
              <w:tc>
                <w:tcPr>
                  <w:tcW w:w="1990" w:type="dxa"/>
                  <w:tcBorders>
                    <w:top w:val="single" w:color="000000" w:sz="4" w:space="0"/>
                    <w:left w:val="single" w:color="000000" w:sz="4" w:space="0"/>
                    <w:bottom w:val="single" w:color="000000" w:sz="4" w:space="0"/>
                    <w:right w:val="single" w:color="000000" w:sz="4" w:space="0"/>
                  </w:tcBorders>
                  <w:vAlign w:val="center"/>
                </w:tcPr>
                <w:p w14:paraId="2F121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美术造型</w:t>
                  </w:r>
                </w:p>
              </w:tc>
              <w:tc>
                <w:tcPr>
                  <w:tcW w:w="1238" w:type="dxa"/>
                  <w:tcBorders>
                    <w:top w:val="single" w:color="000000" w:sz="4" w:space="0"/>
                    <w:left w:val="single" w:color="000000" w:sz="4" w:space="0"/>
                    <w:bottom w:val="single" w:color="000000" w:sz="4" w:space="0"/>
                    <w:right w:val="single" w:color="000000" w:sz="4" w:space="0"/>
                  </w:tcBorders>
                  <w:vAlign w:val="center"/>
                </w:tcPr>
                <w:p w14:paraId="680C2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14:paraId="707EC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81" w:type="dxa"/>
                  <w:tcBorders>
                    <w:top w:val="single" w:color="000000" w:sz="4" w:space="0"/>
                    <w:left w:val="single" w:color="000000" w:sz="4" w:space="0"/>
                    <w:bottom w:val="single" w:color="000000" w:sz="4" w:space="0"/>
                    <w:right w:val="single" w:color="000000" w:sz="4" w:space="0"/>
                  </w:tcBorders>
                  <w:vAlign w:val="center"/>
                </w:tcPr>
                <w:p w14:paraId="2E2E8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薛乔今</w:t>
                  </w:r>
                </w:p>
              </w:tc>
              <w:tc>
                <w:tcPr>
                  <w:tcW w:w="1284" w:type="dxa"/>
                  <w:tcBorders>
                    <w:top w:val="single" w:color="000000" w:sz="4" w:space="0"/>
                    <w:left w:val="single" w:color="000000" w:sz="4" w:space="0"/>
                    <w:bottom w:val="single" w:color="000000" w:sz="4" w:space="0"/>
                    <w:right w:val="single" w:color="000000" w:sz="4" w:space="0"/>
                  </w:tcBorders>
                  <w:vAlign w:val="center"/>
                </w:tcPr>
                <w:p w14:paraId="0A772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李帅</w:t>
                  </w:r>
                </w:p>
              </w:tc>
              <w:tc>
                <w:tcPr>
                  <w:tcW w:w="1214" w:type="dxa"/>
                  <w:tcBorders>
                    <w:top w:val="single" w:color="000000" w:sz="4" w:space="0"/>
                    <w:left w:val="single" w:color="000000" w:sz="4" w:space="0"/>
                    <w:bottom w:val="single" w:color="000000" w:sz="4" w:space="0"/>
                    <w:right w:val="single" w:color="000000" w:sz="4" w:space="0"/>
                  </w:tcBorders>
                  <w:vAlign w:val="center"/>
                </w:tcPr>
                <w:p w14:paraId="1F1D1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个人项目</w:t>
                  </w:r>
                </w:p>
              </w:tc>
              <w:tc>
                <w:tcPr>
                  <w:tcW w:w="1183" w:type="dxa"/>
                  <w:tcBorders>
                    <w:top w:val="single" w:color="000000" w:sz="4" w:space="0"/>
                    <w:left w:val="single" w:color="000000" w:sz="4" w:space="0"/>
                    <w:bottom w:val="single" w:color="000000" w:sz="4" w:space="0"/>
                    <w:right w:val="single" w:color="000000" w:sz="4" w:space="0"/>
                  </w:tcBorders>
                  <w:vAlign w:val="center"/>
                </w:tcPr>
                <w:p w14:paraId="5EE84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学生赛道</w:t>
                  </w:r>
                </w:p>
              </w:tc>
              <w:tc>
                <w:tcPr>
                  <w:tcW w:w="1990" w:type="dxa"/>
                  <w:tcBorders>
                    <w:top w:val="single" w:color="000000" w:sz="4" w:space="0"/>
                    <w:left w:val="single" w:color="000000" w:sz="4" w:space="0"/>
                    <w:bottom w:val="single" w:color="000000" w:sz="4" w:space="0"/>
                    <w:right w:val="single" w:color="000000" w:sz="4" w:space="0"/>
                  </w:tcBorders>
                  <w:vAlign w:val="center"/>
                </w:tcPr>
                <w:p w14:paraId="49534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美术造型</w:t>
                  </w:r>
                </w:p>
              </w:tc>
              <w:tc>
                <w:tcPr>
                  <w:tcW w:w="1238" w:type="dxa"/>
                  <w:tcBorders>
                    <w:top w:val="single" w:color="000000" w:sz="4" w:space="0"/>
                    <w:left w:val="single" w:color="000000" w:sz="4" w:space="0"/>
                    <w:bottom w:val="single" w:color="000000" w:sz="4" w:space="0"/>
                    <w:right w:val="single" w:color="000000" w:sz="4" w:space="0"/>
                  </w:tcBorders>
                  <w:vAlign w:val="center"/>
                </w:tcPr>
                <w:p w14:paraId="04D68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bl>
          <w:p w14:paraId="071814D2">
            <w:pPr>
              <w:rPr>
                <w:rFonts w:hint="default"/>
                <w:vertAlign w:val="baseline"/>
                <w:lang w:val="en-US" w:eastAsia="zh-CN"/>
              </w:rPr>
            </w:pPr>
          </w:p>
        </w:tc>
      </w:tr>
    </w:tbl>
    <w:p w14:paraId="0FCE63C2">
      <w:pPr>
        <w:pStyle w:val="11"/>
        <w:numPr>
          <w:ilvl w:val="0"/>
          <w:numId w:val="0"/>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2.11培养质量</w:t>
      </w:r>
    </w:p>
    <w:p w14:paraId="500F55E4">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高考升学</w:t>
      </w:r>
      <w:r>
        <w:rPr>
          <w:rFonts w:hint="eastAsia" w:ascii="仿宋" w:hAnsi="仿宋" w:eastAsia="仿宋" w:cs="仿宋"/>
          <w:sz w:val="32"/>
          <w:szCs w:val="32"/>
          <w:lang w:eastAsia="zh-CN"/>
        </w:rPr>
        <w:t>，学校</w:t>
      </w:r>
      <w:r>
        <w:rPr>
          <w:rFonts w:hint="eastAsia" w:ascii="仿宋" w:hAnsi="仿宋" w:eastAsia="仿宋" w:cs="仿宋"/>
          <w:sz w:val="32"/>
          <w:szCs w:val="32"/>
        </w:rPr>
        <w:t>实现本科上线人数翻番，</w:t>
      </w:r>
      <w:r>
        <w:rPr>
          <w:rFonts w:hint="eastAsia" w:ascii="仿宋" w:hAnsi="仿宋" w:eastAsia="仿宋" w:cs="仿宋"/>
          <w:sz w:val="32"/>
          <w:szCs w:val="32"/>
          <w:lang w:val="en-US" w:eastAsia="zh-CN"/>
        </w:rPr>
        <w:t>4</w:t>
      </w:r>
      <w:r>
        <w:rPr>
          <w:rFonts w:hint="eastAsia" w:ascii="仿宋" w:hAnsi="仿宋" w:eastAsia="仿宋" w:cs="仿宋"/>
          <w:sz w:val="32"/>
          <w:szCs w:val="32"/>
        </w:rPr>
        <w:t>名同学达对口升学一批本科线，</w:t>
      </w:r>
      <w:r>
        <w:rPr>
          <w:rFonts w:hint="eastAsia" w:ascii="仿宋" w:hAnsi="仿宋" w:eastAsia="仿宋" w:cs="仿宋"/>
          <w:sz w:val="32"/>
          <w:szCs w:val="32"/>
          <w:lang w:val="en-US" w:eastAsia="zh-CN"/>
        </w:rPr>
        <w:t>4</w:t>
      </w:r>
      <w:r>
        <w:rPr>
          <w:rFonts w:hint="eastAsia" w:ascii="仿宋" w:hAnsi="仿宋" w:eastAsia="仿宋" w:cs="仿宋"/>
          <w:sz w:val="32"/>
          <w:szCs w:val="32"/>
        </w:rPr>
        <w:t>名同学达对口升学二批本科线；完成省级“致远”思政工作室、“立志”“德孝”“润心”3个特色文化育人品牌和1</w:t>
      </w:r>
      <w:r>
        <w:rPr>
          <w:rFonts w:hint="eastAsia" w:ascii="仿宋" w:hAnsi="仿宋" w:eastAsia="仿宋" w:cs="仿宋"/>
          <w:sz w:val="32"/>
          <w:szCs w:val="32"/>
          <w:lang w:val="en-US" w:eastAsia="zh-CN"/>
        </w:rPr>
        <w:t>0</w:t>
      </w:r>
      <w:r>
        <w:rPr>
          <w:rFonts w:hint="eastAsia" w:ascii="仿宋" w:hAnsi="仿宋" w:eastAsia="仿宋" w:cs="仿宋"/>
          <w:sz w:val="32"/>
          <w:szCs w:val="32"/>
        </w:rPr>
        <w:t>个思政微课</w:t>
      </w:r>
      <w:r>
        <w:rPr>
          <w:rFonts w:hint="eastAsia" w:ascii="仿宋" w:hAnsi="仿宋" w:eastAsia="仿宋" w:cs="仿宋"/>
          <w:sz w:val="32"/>
          <w:szCs w:val="32"/>
          <w:lang w:eastAsia="zh-CN"/>
        </w:rPr>
        <w:t>成功</w:t>
      </w:r>
      <w:r>
        <w:rPr>
          <w:rFonts w:hint="eastAsia" w:ascii="仿宋" w:hAnsi="仿宋" w:eastAsia="仿宋" w:cs="仿宋"/>
          <w:sz w:val="32"/>
          <w:szCs w:val="32"/>
        </w:rPr>
        <w:t>申报；</w:t>
      </w:r>
      <w:r>
        <w:rPr>
          <w:rFonts w:hint="eastAsia" w:ascii="仿宋" w:hAnsi="仿宋" w:eastAsia="仿宋" w:cs="仿宋"/>
          <w:sz w:val="32"/>
          <w:szCs w:val="32"/>
          <w:lang w:val="en-US" w:eastAsia="zh-CN"/>
        </w:rPr>
        <w:t>8名教师参加教师企业实践、专项培训、课程能力提升等国家培训；</w:t>
      </w:r>
      <w:r>
        <w:rPr>
          <w:rFonts w:hint="eastAsia" w:ascii="仿宋" w:hAnsi="仿宋" w:eastAsia="仿宋" w:cs="仿宋"/>
          <w:sz w:val="32"/>
          <w:szCs w:val="32"/>
        </w:rPr>
        <w:t>职业生涯1+x证书考试，149人学习时间合格，参加了线上统一考试，142人考试合格；</w:t>
      </w:r>
      <w:r>
        <w:rPr>
          <w:rFonts w:hint="eastAsia" w:ascii="仿宋" w:hAnsi="仿宋" w:eastAsia="仿宋" w:cs="仿宋"/>
          <w:sz w:val="32"/>
          <w:szCs w:val="32"/>
          <w:lang w:eastAsia="zh-CN"/>
        </w:rPr>
        <w:t>李晓的微课《行走于虞坂古盐道》被评为中等职业教育组微课制作典型作品。</w:t>
      </w:r>
    </w:p>
    <w:p w14:paraId="525B7964">
      <w:pPr>
        <w:pStyle w:val="11"/>
        <w:ind w:left="0" w:leftChars="0" w:firstLine="0" w:firstLineChars="0"/>
        <w:rPr>
          <w:rFonts w:hint="eastAsia"/>
          <w:lang w:val="en-US" w:eastAsia="zh-CN"/>
        </w:rPr>
      </w:pPr>
      <w:r>
        <w:rPr>
          <w:rFonts w:hint="eastAsia"/>
          <w:lang w:val="en-US" w:eastAsia="zh-CN"/>
        </w:rPr>
        <w:drawing>
          <wp:inline distT="0" distB="0" distL="114300" distR="114300">
            <wp:extent cx="5118100" cy="1985010"/>
            <wp:effectExtent l="0" t="0" r="6350" b="15240"/>
            <wp:docPr id="1" name="图片 1" descr="a8eed4e4850c1ca034393516d3ff6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8eed4e4850c1ca034393516d3ff60d"/>
                    <pic:cNvPicPr>
                      <a:picLocks noChangeAspect="1"/>
                    </pic:cNvPicPr>
                  </pic:nvPicPr>
                  <pic:blipFill>
                    <a:blip r:embed="rId11"/>
                    <a:stretch>
                      <a:fillRect/>
                    </a:stretch>
                  </pic:blipFill>
                  <pic:spPr>
                    <a:xfrm>
                      <a:off x="0" y="0"/>
                      <a:ext cx="5118100" cy="1985010"/>
                    </a:xfrm>
                    <a:prstGeom prst="rect">
                      <a:avLst/>
                    </a:prstGeom>
                  </pic:spPr>
                </pic:pic>
              </a:graphicData>
            </a:graphic>
          </wp:inline>
        </w:drawing>
      </w:r>
    </w:p>
    <w:p w14:paraId="28002E3C">
      <w:pPr>
        <w:pStyle w:val="11"/>
        <w:numPr>
          <w:ilvl w:val="0"/>
          <w:numId w:val="0"/>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案例2-1</w:t>
      </w:r>
    </w:p>
    <w:p w14:paraId="5B2CF0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宋体" w:hAnsi="宋体" w:eastAsia="宋体" w:cs="宋体"/>
          <w:i w:val="0"/>
          <w:iCs w:val="0"/>
          <w:caps w:val="0"/>
          <w:spacing w:val="7"/>
          <w:sz w:val="32"/>
          <w:szCs w:val="32"/>
          <w:shd w:val="clear" w:fill="FFFFFF"/>
        </w:rPr>
      </w:pPr>
      <w:r>
        <w:rPr>
          <w:rFonts w:hint="eastAsia" w:ascii="宋体" w:hAnsi="宋体" w:eastAsia="宋体" w:cs="宋体"/>
          <w:i w:val="0"/>
          <w:iCs w:val="0"/>
          <w:caps w:val="0"/>
          <w:spacing w:val="7"/>
          <w:sz w:val="32"/>
          <w:szCs w:val="32"/>
          <w:shd w:val="clear" w:fill="FFFFFF"/>
        </w:rPr>
        <w:t>展青师风采 助雏鹰成长</w:t>
      </w:r>
    </w:p>
    <w:p w14:paraId="67688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宋体" w:hAnsi="宋体" w:eastAsia="宋体" w:cs="宋体"/>
          <w:i w:val="0"/>
          <w:iCs w:val="0"/>
          <w:caps w:val="0"/>
          <w:spacing w:val="8"/>
          <w:sz w:val="32"/>
          <w:szCs w:val="32"/>
          <w:shd w:val="clear" w:fill="FFFFFF"/>
        </w:rPr>
      </w:pPr>
      <w:r>
        <w:rPr>
          <w:rFonts w:hint="eastAsia" w:ascii="楷体" w:hAnsi="楷体" w:eastAsia="楷体" w:cs="楷体"/>
          <w:b w:val="0"/>
          <w:bCs/>
          <w:i w:val="0"/>
          <w:iCs w:val="0"/>
          <w:caps w:val="0"/>
          <w:spacing w:val="0"/>
          <w:sz w:val="32"/>
          <w:szCs w:val="32"/>
          <w:shd w:val="clear" w:fill="FFFFFF"/>
        </w:rPr>
        <w:t>——</w:t>
      </w:r>
      <w:r>
        <w:rPr>
          <w:rFonts w:hint="eastAsia" w:ascii="楷体" w:hAnsi="楷体" w:eastAsia="楷体" w:cs="楷体"/>
          <w:b w:val="0"/>
          <w:bCs/>
          <w:i w:val="0"/>
          <w:iCs w:val="0"/>
          <w:caps w:val="0"/>
          <w:spacing w:val="0"/>
          <w:sz w:val="32"/>
          <w:szCs w:val="32"/>
          <w:shd w:val="clear" w:fill="FFFFFF"/>
          <w:lang w:val="en-US" w:eastAsia="zh-CN"/>
        </w:rPr>
        <w:t>平陆县第一高级职业中学</w:t>
      </w:r>
      <w:r>
        <w:rPr>
          <w:rFonts w:hint="eastAsia" w:ascii="楷体" w:hAnsi="楷体" w:eastAsia="楷体" w:cs="楷体"/>
          <w:b w:val="0"/>
          <w:bCs/>
          <w:i w:val="0"/>
          <w:iCs w:val="0"/>
          <w:caps w:val="0"/>
          <w:spacing w:val="7"/>
          <w:sz w:val="32"/>
          <w:szCs w:val="32"/>
          <w:shd w:val="clear" w:fill="FFFFFF"/>
        </w:rPr>
        <w:t>开展青年教师“过关课”活动</w:t>
      </w:r>
    </w:p>
    <w:p w14:paraId="0B0A6A3C">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2023年11月13日至16日，我校开展了为期一周的青年教师“过关课”活动。</w:t>
      </w:r>
    </w:p>
    <w:p w14:paraId="0F459ACC">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本次活动，学校领导高度重视，教研室周密安排，青年教师精心备课。2023年新入职的4名教师参加了本次“过关课”的展示。学校领导组成员及各教研组、各学科教师参与听评课。</w:t>
      </w:r>
    </w:p>
    <w:p w14:paraId="39D38CA1">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课堂上，授课教师采用多种教学模式调动学生的积极性，课堂气氛活跃、教学环节连贯、教学节奏适中、教学效果明显。</w:t>
      </w:r>
    </w:p>
    <w:p w14:paraId="7F6189A5">
      <w:pPr>
        <w:keepNext w:val="0"/>
        <w:keepLines w:val="0"/>
        <w:widowControl/>
        <w:suppressLineNumbers w:val="0"/>
        <w:ind w:firstLine="736" w:firstLineChars="200"/>
        <w:jc w:val="left"/>
        <w:rPr>
          <w:rFonts w:hint="eastAsia" w:ascii="仿宋" w:hAnsi="仿宋" w:eastAsia="仿宋" w:cs="仿宋"/>
          <w:kern w:val="0"/>
          <w:sz w:val="32"/>
          <w:szCs w:val="32"/>
          <w:lang w:val="en-US" w:eastAsia="zh-CN" w:bidi="ar"/>
        </w:rPr>
      </w:pPr>
      <w:r>
        <w:rPr>
          <w:rFonts w:hint="eastAsia" w:ascii="仿宋" w:hAnsi="仿宋" w:eastAsia="仿宋" w:cs="仿宋"/>
          <w:spacing w:val="24"/>
          <w:kern w:val="0"/>
          <w:sz w:val="32"/>
          <w:szCs w:val="32"/>
          <w:lang w:val="en-US" w:eastAsia="zh-CN" w:bidi="ar"/>
        </w:rPr>
        <w:t>点评会上，各位授课教师对自己的教学理念、教学目标、教学设计进行了自评。青年教师扎实的教学基本功、饱满精神状态以及良好职业素养，给各位评委留下了深刻的印象。评委老师畅谈听课感受，并按照活动要求进行打分。</w:t>
      </w:r>
    </w:p>
    <w:p w14:paraId="33B7EDF1">
      <w:pPr>
        <w:keepNext w:val="0"/>
        <w:keepLines w:val="0"/>
        <w:widowControl/>
        <w:suppressLineNumbers w:val="0"/>
        <w:ind w:firstLine="640" w:firstLineChars="200"/>
        <w:jc w:val="left"/>
        <w:rPr>
          <w:rFonts w:hint="eastAsia" w:eastAsiaTheme="minorEastAsia"/>
          <w:lang w:eastAsia="zh-CN"/>
        </w:rPr>
      </w:pPr>
      <w:r>
        <w:rPr>
          <w:rFonts w:hint="eastAsia" w:ascii="仿宋" w:hAnsi="仿宋" w:eastAsia="仿宋" w:cs="仿宋"/>
          <w:kern w:val="0"/>
          <w:sz w:val="32"/>
          <w:szCs w:val="32"/>
          <w:lang w:val="en-US" w:eastAsia="zh-CN" w:bidi="ar"/>
        </w:rPr>
        <w:t>本次组织开展的“过关课”活动，为青年教师搭建了一个展示自我、检验能力、寻找差距的平台，促进了新老教师间的交流与合作，有效提升青年教师专业素养，对提高学校教师队伍整体素质起到积极推动作用。</w:t>
      </w:r>
    </w:p>
    <w:p w14:paraId="744D222D">
      <w:pPr>
        <w:pStyle w:val="11"/>
        <w:numPr>
          <w:ilvl w:val="0"/>
          <w:numId w:val="0"/>
        </w:numP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3.服务贡献</w:t>
      </w:r>
    </w:p>
    <w:p w14:paraId="1AB1289F">
      <w:pPr>
        <w:pStyle w:val="11"/>
        <w:numPr>
          <w:ilvl w:val="0"/>
          <w:numId w:val="0"/>
        </w:num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3.1服务行业企业</w:t>
      </w:r>
    </w:p>
    <w:p w14:paraId="4451023C">
      <w:pPr>
        <w:keepNext w:val="0"/>
        <w:keepLines w:val="0"/>
        <w:widowControl/>
        <w:suppressLineNumbers w:val="0"/>
        <w:ind w:firstLine="640" w:firstLineChars="200"/>
        <w:jc w:val="left"/>
        <w:rPr>
          <w:rFonts w:hint="eastAsia" w:ascii="楷体" w:hAnsi="楷体" w:eastAsia="楷体" w:cs="楷体"/>
          <w:b w:val="0"/>
          <w:bCs w:val="0"/>
          <w:sz w:val="32"/>
          <w:szCs w:val="32"/>
          <w:lang w:val="en-US" w:eastAsia="zh-CN"/>
        </w:rPr>
      </w:pPr>
      <w:r>
        <w:rPr>
          <w:rFonts w:hint="eastAsia" w:ascii="仿宋" w:hAnsi="仿宋" w:eastAsia="仿宋" w:cs="仿宋"/>
          <w:color w:val="000000"/>
          <w:kern w:val="0"/>
          <w:sz w:val="32"/>
          <w:szCs w:val="32"/>
          <w:lang w:val="en-US" w:eastAsia="zh-CN" w:bidi="ar"/>
        </w:rPr>
        <w:t>本学年度，学校积极开展特殊工种技能培训，为本区域一些企事业单位培训、培养了一大批电工、焊工等应急技术工。全年开展特殊工种培训共 132人，使这些员工都能掌握一技之长，都能规范操作，取得了良好的经济效益和社会效益。</w:t>
      </w:r>
    </w:p>
    <w:p w14:paraId="0554008B">
      <w:pPr>
        <w:pStyle w:val="11"/>
        <w:numPr>
          <w:ilvl w:val="0"/>
          <w:numId w:val="0"/>
        </w:num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3.2服务地方发展</w:t>
      </w:r>
    </w:p>
    <w:p w14:paraId="7E098F83">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firstLine="640" w:firstLineChars="200"/>
        <w:rPr>
          <w:rFonts w:hint="eastAsia" w:ascii="楷体" w:hAnsi="楷体" w:eastAsia="楷体" w:cs="楷体"/>
          <w:b w:val="0"/>
          <w:bCs w:val="0"/>
          <w:sz w:val="32"/>
          <w:szCs w:val="32"/>
          <w:lang w:val="en-US" w:eastAsia="zh-CN"/>
        </w:rPr>
      </w:pPr>
      <w:r>
        <w:rPr>
          <w:rStyle w:val="13"/>
          <w:rFonts w:hint="eastAsia" w:ascii="仿宋" w:hAnsi="仿宋" w:eastAsia="仿宋" w:cs="仿宋"/>
          <w:b w:val="0"/>
          <w:bCs/>
          <w:sz w:val="32"/>
          <w:szCs w:val="32"/>
          <w:lang w:eastAsia="zh-CN"/>
        </w:rPr>
        <w:t>学</w:t>
      </w:r>
      <w:r>
        <w:rPr>
          <w:rStyle w:val="13"/>
          <w:rFonts w:hint="eastAsia" w:ascii="仿宋" w:hAnsi="仿宋" w:eastAsia="仿宋" w:cs="仿宋"/>
          <w:b w:val="0"/>
          <w:bCs/>
          <w:sz w:val="32"/>
          <w:szCs w:val="32"/>
        </w:rPr>
        <w:t>校无人机专业骨干教师和部分学生深入平陆县</w:t>
      </w:r>
      <w:r>
        <w:rPr>
          <w:rStyle w:val="13"/>
          <w:rFonts w:hint="eastAsia" w:ascii="仿宋" w:hAnsi="仿宋" w:eastAsia="仿宋" w:cs="仿宋"/>
          <w:b w:val="0"/>
          <w:bCs/>
          <w:sz w:val="32"/>
          <w:szCs w:val="32"/>
          <w:lang w:val="en-US" w:eastAsia="zh-CN"/>
        </w:rPr>
        <w:t>洪池镇</w:t>
      </w:r>
      <w:r>
        <w:rPr>
          <w:rStyle w:val="13"/>
          <w:rFonts w:hint="eastAsia" w:ascii="仿宋" w:hAnsi="仿宋" w:eastAsia="仿宋" w:cs="仿宋"/>
          <w:b w:val="0"/>
          <w:bCs/>
          <w:sz w:val="32"/>
          <w:szCs w:val="32"/>
        </w:rPr>
        <w:t>开展无人机专业植保技术惠农服务；</w:t>
      </w:r>
      <w:r>
        <w:rPr>
          <w:rStyle w:val="13"/>
          <w:rFonts w:hint="eastAsia" w:ascii="仿宋" w:hAnsi="仿宋" w:eastAsia="仿宋" w:cs="仿宋"/>
          <w:b w:val="0"/>
          <w:bCs/>
          <w:sz w:val="32"/>
          <w:szCs w:val="32"/>
          <w:lang w:val="en-US" w:eastAsia="zh-CN"/>
        </w:rPr>
        <w:t>承办</w:t>
      </w:r>
      <w:r>
        <w:rPr>
          <w:rStyle w:val="13"/>
          <w:rFonts w:hint="eastAsia" w:ascii="仿宋" w:hAnsi="仿宋" w:eastAsia="仿宋" w:cs="仿宋"/>
          <w:b w:val="0"/>
          <w:bCs/>
          <w:sz w:val="32"/>
          <w:szCs w:val="32"/>
        </w:rPr>
        <w:t>开展</w:t>
      </w:r>
      <w:r>
        <w:rPr>
          <w:rStyle w:val="13"/>
          <w:rFonts w:hint="eastAsia" w:ascii="仿宋" w:hAnsi="仿宋" w:eastAsia="仿宋" w:cs="仿宋"/>
          <w:b w:val="0"/>
          <w:bCs/>
          <w:sz w:val="32"/>
          <w:szCs w:val="32"/>
          <w:lang w:eastAsia="zh-CN"/>
        </w:rPr>
        <w:t>“</w:t>
      </w:r>
      <w:r>
        <w:rPr>
          <w:rStyle w:val="13"/>
          <w:rFonts w:hint="eastAsia" w:ascii="仿宋" w:hAnsi="仿宋" w:eastAsia="仿宋" w:cs="仿宋"/>
          <w:b w:val="0"/>
          <w:bCs/>
          <w:sz w:val="32"/>
          <w:szCs w:val="32"/>
          <w:lang w:val="en-US" w:eastAsia="zh-CN"/>
        </w:rPr>
        <w:t>平陆县2024年职业教育活动周暨全民终身学习活动周</w:t>
      </w:r>
      <w:r>
        <w:rPr>
          <w:rStyle w:val="13"/>
          <w:rFonts w:hint="eastAsia" w:ascii="仿宋" w:hAnsi="仿宋" w:eastAsia="仿宋" w:cs="仿宋"/>
          <w:b w:val="0"/>
          <w:bCs/>
          <w:sz w:val="32"/>
          <w:szCs w:val="32"/>
          <w:lang w:eastAsia="zh-CN"/>
        </w:rPr>
        <w:t>”</w:t>
      </w:r>
      <w:r>
        <w:rPr>
          <w:rStyle w:val="13"/>
          <w:rFonts w:hint="eastAsia" w:ascii="仿宋" w:hAnsi="仿宋" w:eastAsia="仿宋" w:cs="仿宋"/>
          <w:b w:val="0"/>
          <w:bCs/>
          <w:sz w:val="32"/>
          <w:szCs w:val="32"/>
        </w:rPr>
        <w:t>系列活动，</w:t>
      </w:r>
      <w:r>
        <w:rPr>
          <w:rStyle w:val="13"/>
          <w:rFonts w:hint="eastAsia" w:ascii="仿宋" w:hAnsi="仿宋" w:eastAsia="仿宋" w:cs="仿宋"/>
          <w:b w:val="0"/>
          <w:bCs/>
          <w:sz w:val="32"/>
          <w:szCs w:val="32"/>
          <w:lang w:val="en-US" w:eastAsia="zh-CN"/>
        </w:rPr>
        <w:t>开展了心理讲座、惠农服务、技能竞赛、作品展示、社会实践等系列活动</w:t>
      </w:r>
      <w:r>
        <w:rPr>
          <w:rStyle w:val="13"/>
          <w:rFonts w:hint="eastAsia" w:ascii="仿宋" w:hAnsi="仿宋" w:eastAsia="仿宋" w:cs="仿宋"/>
          <w:b w:val="0"/>
          <w:bCs/>
          <w:sz w:val="32"/>
          <w:szCs w:val="32"/>
        </w:rPr>
        <w:t>，让广大群众更加深入地了解了职业教育和职业学校，提升了学生技术技能水平和服务意识，同时展示了职业教育的”的魅力，提升了社会关注度和认可度。</w:t>
      </w:r>
      <w:r>
        <w:rPr>
          <w:rStyle w:val="13"/>
          <w:rFonts w:hint="eastAsia" w:ascii="仿宋" w:hAnsi="仿宋" w:eastAsia="仿宋" w:cs="仿宋"/>
          <w:b w:val="0"/>
          <w:bCs/>
          <w:sz w:val="32"/>
          <w:szCs w:val="32"/>
          <w:lang w:val="en-US" w:eastAsia="zh-CN"/>
        </w:rPr>
        <w:t>为运城市公安机关开展无人机操控技能培训；组织学生到山西新环精密制造股份有限公司参观学习。</w:t>
      </w:r>
    </w:p>
    <w:p w14:paraId="23FC351B">
      <w:pPr>
        <w:pStyle w:val="11"/>
        <w:numPr>
          <w:ilvl w:val="0"/>
          <w:numId w:val="0"/>
        </w:num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3.3服务乡村振兴</w:t>
      </w:r>
    </w:p>
    <w:p w14:paraId="1C824872">
      <w:pPr>
        <w:keepNext w:val="0"/>
        <w:keepLines w:val="0"/>
        <w:widowControl/>
        <w:suppressLineNumbers w:val="0"/>
        <w:ind w:firstLine="640" w:firstLineChars="200"/>
        <w:jc w:val="left"/>
        <w:rPr>
          <w:rFonts w:hint="eastAsia" w:ascii="楷体" w:hAnsi="楷体" w:eastAsia="楷体" w:cs="楷体"/>
          <w:b w:val="0"/>
          <w:bCs w:val="0"/>
          <w:sz w:val="32"/>
          <w:szCs w:val="32"/>
          <w:lang w:val="en-US" w:eastAsia="zh-CN"/>
        </w:rPr>
      </w:pPr>
      <w:r>
        <w:rPr>
          <w:rFonts w:hint="eastAsia" w:ascii="仿宋" w:hAnsi="仿宋" w:eastAsia="仿宋" w:cs="仿宋"/>
          <w:kern w:val="0"/>
          <w:sz w:val="32"/>
          <w:szCs w:val="32"/>
          <w:lang w:val="en-US" w:eastAsia="zh-CN" w:bidi="ar"/>
        </w:rPr>
        <w:t>一年来，学校充分发挥专业教学资源优势，通过与国机集团联合开办两期“乡村振兴直播电商”培训班，培训致富带头人、返乡青年、退伍军人等265</w:t>
      </w:r>
      <w:r>
        <w:rPr>
          <w:rFonts w:hint="eastAsia" w:ascii="仿宋" w:hAnsi="仿宋" w:eastAsia="仿宋" w:cs="仿宋"/>
          <w:color w:val="000000" w:themeColor="text1"/>
          <w:kern w:val="0"/>
          <w:sz w:val="32"/>
          <w:szCs w:val="32"/>
          <w:lang w:val="en-US" w:eastAsia="zh-CN" w:bidi="ar"/>
          <w14:textFill>
            <w14:solidFill>
              <w14:schemeClr w14:val="tx1"/>
            </w14:solidFill>
          </w14:textFill>
        </w:rPr>
        <w:t>人次，与李超焊接培训中心合作培训焊接技术人员389人次，培训农村干部116人次。</w:t>
      </w:r>
    </w:p>
    <w:p w14:paraId="0FE0D6C4">
      <w:pPr>
        <w:pStyle w:val="11"/>
        <w:numPr>
          <w:ilvl w:val="0"/>
          <w:numId w:val="0"/>
        </w:num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3.4服务地方社区</w:t>
      </w:r>
    </w:p>
    <w:p w14:paraId="1311E362">
      <w:pPr>
        <w:bidi w:val="0"/>
        <w:ind w:firstLine="640" w:firstLineChars="200"/>
        <w:rPr>
          <w:rFonts w:hint="eastAsia" w:ascii="楷体" w:hAnsi="楷体" w:eastAsia="楷体" w:cs="楷体"/>
          <w:b w:val="0"/>
          <w:bCs w:val="0"/>
          <w:sz w:val="32"/>
          <w:szCs w:val="32"/>
          <w:lang w:val="en-US" w:eastAsia="zh-CN"/>
        </w:rPr>
      </w:pPr>
      <w:r>
        <w:rPr>
          <w:rFonts w:hint="eastAsia" w:ascii="仿宋" w:hAnsi="仿宋" w:eastAsia="仿宋" w:cs="仿宋"/>
          <w:sz w:val="32"/>
          <w:szCs w:val="32"/>
          <w:lang w:eastAsia="zh-CN"/>
        </w:rPr>
        <w:t>学</w:t>
      </w:r>
      <w:r>
        <w:rPr>
          <w:rFonts w:hint="eastAsia" w:ascii="仿宋" w:hAnsi="仿宋" w:eastAsia="仿宋" w:cs="仿宋"/>
          <w:sz w:val="32"/>
          <w:szCs w:val="32"/>
        </w:rPr>
        <w:t>校</w:t>
      </w:r>
      <w:r>
        <w:rPr>
          <w:rFonts w:hint="eastAsia" w:ascii="仿宋" w:hAnsi="仿宋" w:eastAsia="仿宋" w:cs="仿宋"/>
          <w:sz w:val="32"/>
          <w:szCs w:val="32"/>
          <w:lang w:eastAsia="zh-CN"/>
        </w:rPr>
        <w:t>派出</w:t>
      </w:r>
      <w:r>
        <w:rPr>
          <w:rFonts w:hint="eastAsia" w:ascii="仿宋" w:hAnsi="仿宋" w:eastAsia="仿宋" w:cs="仿宋"/>
          <w:sz w:val="32"/>
          <w:szCs w:val="32"/>
        </w:rPr>
        <w:t>心理健康教师杜菁参与</w:t>
      </w:r>
      <w:r>
        <w:rPr>
          <w:rFonts w:hint="eastAsia" w:ascii="仿宋" w:hAnsi="仿宋" w:eastAsia="仿宋" w:cs="仿宋"/>
          <w:sz w:val="32"/>
          <w:szCs w:val="32"/>
          <w:lang w:eastAsia="zh-CN"/>
        </w:rPr>
        <w:t>全市开展的</w:t>
      </w:r>
      <w:r>
        <w:rPr>
          <w:rFonts w:hint="eastAsia" w:ascii="仿宋" w:hAnsi="仿宋" w:eastAsia="仿宋" w:cs="仿宋"/>
          <w:sz w:val="32"/>
          <w:szCs w:val="32"/>
        </w:rPr>
        <w:t>“贯彻</w:t>
      </w:r>
      <w:r>
        <w:rPr>
          <w:rFonts w:hint="eastAsia" w:ascii="仿宋" w:hAnsi="仿宋" w:eastAsia="仿宋" w:cs="仿宋"/>
          <w:sz w:val="32"/>
          <w:szCs w:val="32"/>
          <w:lang w:val="en-US" w:eastAsia="zh-CN"/>
        </w:rPr>
        <w:t>党的</w:t>
      </w:r>
      <w:r>
        <w:rPr>
          <w:rFonts w:hint="eastAsia" w:ascii="仿宋" w:hAnsi="仿宋" w:eastAsia="仿宋" w:cs="仿宋"/>
          <w:sz w:val="32"/>
          <w:szCs w:val="32"/>
        </w:rPr>
        <w:t>二十大 服务暖人心”社会心理进机关、进企业、进校园（由教育部门负责组织进行）、进军营、进社区、进农村的六进公益活动，为</w:t>
      </w:r>
      <w:r>
        <w:rPr>
          <w:rFonts w:hint="eastAsia" w:ascii="仿宋" w:hAnsi="仿宋" w:eastAsia="仿宋" w:cs="仿宋"/>
          <w:sz w:val="32"/>
          <w:szCs w:val="32"/>
          <w:lang w:eastAsia="zh-CN"/>
        </w:rPr>
        <w:t>平陆县</w:t>
      </w:r>
      <w:r>
        <w:rPr>
          <w:rFonts w:hint="eastAsia" w:ascii="仿宋" w:hAnsi="仿宋" w:eastAsia="仿宋" w:cs="仿宋"/>
          <w:sz w:val="32"/>
          <w:szCs w:val="32"/>
        </w:rPr>
        <w:t>消防救援大队、新环精密制造股份有限公司、浩鑫电子科技有限公司三个单位服务</w:t>
      </w:r>
      <w:r>
        <w:rPr>
          <w:rFonts w:hint="eastAsia" w:ascii="仿宋" w:hAnsi="仿宋" w:eastAsia="仿宋" w:cs="仿宋"/>
          <w:sz w:val="32"/>
          <w:szCs w:val="32"/>
          <w:lang w:eastAsia="zh-CN"/>
        </w:rPr>
        <w:t>，受众人数达</w:t>
      </w:r>
      <w:r>
        <w:rPr>
          <w:rFonts w:hint="eastAsia" w:ascii="仿宋" w:hAnsi="仿宋" w:eastAsia="仿宋" w:cs="仿宋"/>
          <w:sz w:val="32"/>
          <w:szCs w:val="32"/>
          <w:lang w:val="en-US" w:eastAsia="zh-CN"/>
        </w:rPr>
        <w:t>300人以上</w:t>
      </w:r>
      <w:r>
        <w:rPr>
          <w:rFonts w:hint="eastAsia" w:ascii="仿宋" w:hAnsi="仿宋" w:eastAsia="仿宋" w:cs="仿宋"/>
          <w:sz w:val="32"/>
          <w:szCs w:val="32"/>
        </w:rPr>
        <w:t>。</w:t>
      </w:r>
      <w:r>
        <w:rPr>
          <w:rFonts w:hint="eastAsia" w:ascii="仿宋" w:hAnsi="仿宋" w:eastAsia="仿宋" w:cs="仿宋"/>
          <w:sz w:val="32"/>
          <w:szCs w:val="32"/>
          <w:lang w:eastAsia="zh-CN"/>
        </w:rPr>
        <w:t>有效</w:t>
      </w:r>
      <w:r>
        <w:rPr>
          <w:rFonts w:hint="eastAsia" w:ascii="仿宋" w:hAnsi="仿宋" w:eastAsia="仿宋" w:cs="仿宋"/>
          <w:sz w:val="32"/>
          <w:szCs w:val="32"/>
        </w:rPr>
        <w:t>提升大众心理健康素养水平，增强群众获得感、幸福感。</w:t>
      </w:r>
      <w:r>
        <w:rPr>
          <w:rFonts w:hint="eastAsia" w:ascii="仿宋" w:hAnsi="仿宋" w:eastAsia="仿宋" w:cs="仿宋"/>
          <w:sz w:val="32"/>
          <w:szCs w:val="32"/>
          <w:lang w:val="en-US" w:eastAsia="zh-CN"/>
        </w:rPr>
        <w:t>平陆开放大学</w:t>
      </w:r>
      <w:r>
        <w:rPr>
          <w:rFonts w:hint="eastAsia" w:ascii="仿宋" w:hAnsi="仿宋" w:eastAsia="仿宋" w:cs="仿宋"/>
          <w:sz w:val="32"/>
          <w:szCs w:val="32"/>
          <w:lang w:eastAsia="zh-CN"/>
        </w:rPr>
        <w:t>承接</w:t>
      </w:r>
      <w:r>
        <w:rPr>
          <w:rFonts w:hint="eastAsia" w:ascii="仿宋" w:hAnsi="仿宋" w:eastAsia="仿宋" w:cs="仿宋"/>
          <w:i w:val="0"/>
          <w:iCs w:val="0"/>
          <w:caps w:val="0"/>
          <w:color w:val="000000"/>
          <w:spacing w:val="30"/>
          <w:sz w:val="32"/>
          <w:szCs w:val="32"/>
          <w:shd w:val="clear" w:fill="FFFFFF"/>
        </w:rPr>
        <w:t>平陆县“农村（社区）‘两委’干部大专以上学历全覆盖工程”</w:t>
      </w:r>
      <w:r>
        <w:rPr>
          <w:rFonts w:hint="eastAsia" w:ascii="仿宋" w:hAnsi="仿宋" w:eastAsia="仿宋" w:cs="仿宋"/>
          <w:i w:val="0"/>
          <w:iCs w:val="0"/>
          <w:caps w:val="0"/>
          <w:color w:val="000000"/>
          <w:spacing w:val="30"/>
          <w:sz w:val="32"/>
          <w:szCs w:val="32"/>
          <w:shd w:val="clear" w:fill="FFFFFF"/>
          <w:lang w:eastAsia="zh-CN"/>
        </w:rPr>
        <w:t>，培训学员</w:t>
      </w:r>
      <w:r>
        <w:rPr>
          <w:rFonts w:hint="eastAsia" w:ascii="仿宋" w:hAnsi="仿宋" w:eastAsia="仿宋" w:cs="仿宋"/>
          <w:i w:val="0"/>
          <w:iCs w:val="0"/>
          <w:caps w:val="0"/>
          <w:color w:val="000000"/>
          <w:spacing w:val="30"/>
          <w:sz w:val="32"/>
          <w:szCs w:val="32"/>
          <w:shd w:val="clear" w:fill="FFFFFF"/>
          <w:lang w:val="en-US" w:eastAsia="zh-CN"/>
        </w:rPr>
        <w:t>119人。</w:t>
      </w:r>
    </w:p>
    <w:p w14:paraId="03B7B9EC">
      <w:pPr>
        <w:pStyle w:val="11"/>
        <w:numPr>
          <w:ilvl w:val="0"/>
          <w:numId w:val="0"/>
        </w:num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3.5具有地域特色的服务</w:t>
      </w:r>
    </w:p>
    <w:p w14:paraId="73C7E1C3">
      <w:pPr>
        <w:pStyle w:val="11"/>
        <w:keepNext w:val="0"/>
        <w:keepLines w:val="0"/>
        <w:pageBreakBefore w:val="0"/>
        <w:kinsoku/>
        <w:wordWrap/>
        <w:overflowPunct/>
        <w:topLinePunct w:val="0"/>
        <w:autoSpaceDE/>
        <w:autoSpaceDN/>
        <w:bidi w:val="0"/>
        <w:adjustRightInd/>
        <w:snapToGrid/>
        <w:spacing w:line="560" w:lineRule="exact"/>
        <w:ind w:left="0" w:leftChars="0" w:firstLine="640" w:firstLineChars="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为了丰富学生的校园文化生活，</w:t>
      </w:r>
      <w:r>
        <w:rPr>
          <w:rFonts w:hint="eastAsia" w:ascii="仿宋" w:hAnsi="仿宋" w:eastAsia="仿宋" w:cs="仿宋"/>
          <w:color w:val="000000" w:themeColor="text1"/>
          <w:sz w:val="32"/>
          <w:szCs w:val="32"/>
          <w:lang w:eastAsia="zh-CN"/>
          <w14:textFill>
            <w14:solidFill>
              <w14:schemeClr w14:val="tx1"/>
            </w14:solidFill>
          </w14:textFill>
        </w:rPr>
        <w:t>学校</w:t>
      </w:r>
      <w:r>
        <w:rPr>
          <w:rFonts w:hint="eastAsia" w:ascii="仿宋" w:hAnsi="仿宋" w:eastAsia="仿宋" w:cs="仿宋"/>
          <w:color w:val="000000" w:themeColor="text1"/>
          <w:sz w:val="32"/>
          <w:szCs w:val="32"/>
          <w14:textFill>
            <w14:solidFill>
              <w14:schemeClr w14:val="tx1"/>
            </w14:solidFill>
          </w14:textFill>
        </w:rPr>
        <w:t>充分利用扩展学生的生活空间</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多层次、多渠道、多形式的开展第二课堂活动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并</w:t>
      </w:r>
      <w:r>
        <w:rPr>
          <w:rFonts w:hint="eastAsia" w:ascii="仿宋" w:hAnsi="仿宋" w:eastAsia="仿宋" w:cs="仿宋"/>
          <w:color w:val="000000" w:themeColor="text1"/>
          <w:sz w:val="32"/>
          <w:szCs w:val="32"/>
          <w14:textFill>
            <w14:solidFill>
              <w14:schemeClr w14:val="tx1"/>
            </w14:solidFill>
          </w14:textFill>
        </w:rPr>
        <w:t>进一步丰富和完善第二课堂课程设置和组织工作，确保第二课堂活动收到预期的效果，真正做到在学生中形成“</w:t>
      </w:r>
      <w:r>
        <w:rPr>
          <w:rFonts w:hint="eastAsia" w:ascii="仿宋" w:hAnsi="仿宋" w:eastAsia="仿宋" w:cs="仿宋"/>
          <w:color w:val="000000" w:themeColor="text1"/>
          <w:sz w:val="32"/>
          <w:szCs w:val="32"/>
          <w:lang w:val="en-US" w:eastAsia="zh-CN"/>
          <w14:textFill>
            <w14:solidFill>
              <w14:schemeClr w14:val="tx1"/>
            </w14:solidFill>
          </w14:textFill>
        </w:rPr>
        <w:t>赶</w:t>
      </w:r>
      <w:r>
        <w:rPr>
          <w:rFonts w:hint="eastAsia" w:ascii="仿宋" w:hAnsi="仿宋" w:eastAsia="仿宋" w:cs="仿宋"/>
          <w:color w:val="000000" w:themeColor="text1"/>
          <w:sz w:val="32"/>
          <w:szCs w:val="32"/>
          <w14:textFill>
            <w14:solidFill>
              <w14:schemeClr w14:val="tx1"/>
            </w14:solidFill>
          </w14:textFill>
        </w:rPr>
        <w:t>、帮、超”浓厚的学习兴趣,使每个学生学有所长,学有所用。</w:t>
      </w:r>
    </w:p>
    <w:p w14:paraId="3C8892E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开展职业技能等级认定、服务学生发展。学校面向在校学生开展职业技能等级认定，成功申报了计算机、机电应用、电焊、汽修、艺术设计与制作、社会文化艺术专业的考证工作，满足学校各专业学生在校期间考证需求。</w:t>
      </w:r>
    </w:p>
    <w:p w14:paraId="1D4A4066">
      <w:pPr>
        <w:pStyle w:val="11"/>
        <w:numPr>
          <w:ilvl w:val="0"/>
          <w:numId w:val="0"/>
        </w:num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3.6具有本校特色的服务</w:t>
      </w:r>
    </w:p>
    <w:p w14:paraId="283DCF36">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themeColor="text1"/>
          <w:kern w:val="0"/>
          <w:sz w:val="30"/>
          <w:szCs w:val="30"/>
          <w:lang w:val="en-US" w:eastAsia="zh-CN"/>
          <w14:textFill>
            <w14:solidFill>
              <w14:schemeClr w14:val="tx1"/>
            </w14:solidFill>
          </w14:textFill>
        </w:rPr>
        <w:t>3</w:t>
      </w:r>
      <w:r>
        <w:rPr>
          <w:rFonts w:hint="eastAsia" w:ascii="仿宋" w:hAnsi="仿宋" w:eastAsia="仿宋" w:cs="仿宋"/>
          <w:b w:val="0"/>
          <w:bCs w:val="0"/>
          <w:color w:val="000000" w:themeColor="text1"/>
          <w:kern w:val="0"/>
          <w:sz w:val="30"/>
          <w:szCs w:val="30"/>
          <w14:textFill>
            <w14:solidFill>
              <w14:schemeClr w14:val="tx1"/>
            </w14:solidFill>
          </w14:textFill>
        </w:rPr>
        <w:t>.</w:t>
      </w:r>
      <w:r>
        <w:rPr>
          <w:rFonts w:hint="eastAsia" w:ascii="仿宋" w:hAnsi="仿宋" w:eastAsia="仿宋" w:cs="仿宋"/>
          <w:b w:val="0"/>
          <w:bCs w:val="0"/>
          <w:color w:val="000000" w:themeColor="text1"/>
          <w:kern w:val="0"/>
          <w:sz w:val="30"/>
          <w:szCs w:val="30"/>
          <w:lang w:val="en-US" w:eastAsia="zh-CN"/>
          <w14:textFill>
            <w14:solidFill>
              <w14:schemeClr w14:val="tx1"/>
            </w14:solidFill>
          </w14:textFill>
        </w:rPr>
        <w:t>6</w:t>
      </w:r>
      <w:r>
        <w:rPr>
          <w:rFonts w:hint="eastAsia" w:ascii="仿宋" w:hAnsi="仿宋" w:eastAsia="仿宋" w:cs="仿宋"/>
          <w:b w:val="0"/>
          <w:bCs w:val="0"/>
          <w:color w:val="000000" w:themeColor="text1"/>
          <w:kern w:val="0"/>
          <w:sz w:val="30"/>
          <w:szCs w:val="30"/>
          <w14:textFill>
            <w14:solidFill>
              <w14:schemeClr w14:val="tx1"/>
            </w14:solidFill>
          </w14:textFill>
        </w:rPr>
        <w:t>.</w:t>
      </w:r>
      <w:r>
        <w:rPr>
          <w:rFonts w:hint="eastAsia" w:ascii="仿宋" w:hAnsi="仿宋" w:eastAsia="仿宋" w:cs="仿宋"/>
          <w:b w:val="0"/>
          <w:bCs w:val="0"/>
          <w:color w:val="000000" w:themeColor="text1"/>
          <w:kern w:val="0"/>
          <w:sz w:val="30"/>
          <w:szCs w:val="30"/>
          <w:lang w:val="en-US" w:eastAsia="zh-CN"/>
          <w14:textFill>
            <w14:solidFill>
              <w14:schemeClr w14:val="tx1"/>
            </w14:solidFill>
          </w14:textFill>
        </w:rPr>
        <w:t>1</w:t>
      </w:r>
      <w:r>
        <w:rPr>
          <w:rFonts w:hint="eastAsia" w:ascii="仿宋" w:hAnsi="仿宋" w:eastAsia="仿宋" w:cs="仿宋"/>
          <w:b w:val="0"/>
          <w:bCs w:val="0"/>
          <w:color w:val="000000"/>
          <w:kern w:val="0"/>
          <w:sz w:val="30"/>
          <w:szCs w:val="30"/>
          <w:lang w:val="en-US" w:eastAsia="zh-CN" w:bidi="ar"/>
        </w:rPr>
        <w:t>坚持文化传承，办有内涵的职校</w:t>
      </w:r>
    </w:p>
    <w:p w14:paraId="6947303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学校通过对教育新形势的思考、对办学经验的总结、对优秀学校的学习，明确了“办有内涵的学校，做有温度的教育”的办学理念，谨守“守正拓新 修身精进”的校训、严格“见贤思齐日新至善”的校风、“关爱激活 善导求真”的教风和“学思兼进德技并修”的学风。挖掘特色文化元素。学校依托平陆历史悠久、文化灿烂的优势，凝练出“条山巍巍，黄河汤汤；古虞形胜，文脉绵长；自古重教，代有序庠。吾校创于一九八二年，初址虞坂之南，定基傅说故里。于版筑之乡，秉圣贤之道。尊其文技并进、德才兼长之范，崇其慎思明理、敏学致用之风，继其忠勤安邦、砥砺求索之志。树人为本，砺能为务；守正拓新，修身精进。育时代良才，锻大国工匠，助平陆振兴、为中华腾飞。校训立极，勒铭以勉。”的校训铭，并将其贯穿学校教育教学各领域，融入学生成长成才的全过程，推动“传承傅说精神 锻造大国工匠”的践行实施。构建“三全育人”格局。</w:t>
      </w:r>
    </w:p>
    <w:p w14:paraId="3A920A17">
      <w:pPr>
        <w:keepNext w:val="0"/>
        <w:keepLines w:val="0"/>
        <w:pageBreakBefore w:val="0"/>
        <w:widowControl/>
        <w:suppressLineNumbers w:val="0"/>
        <w:kinsoku/>
        <w:wordWrap/>
        <w:overflowPunct/>
        <w:topLinePunct w:val="0"/>
        <w:autoSpaceDE/>
        <w:autoSpaceDN/>
        <w:bidi w:val="0"/>
        <w:adjustRightInd/>
        <w:snapToGrid/>
        <w:spacing w:line="240" w:lineRule="atLeast"/>
        <w:ind w:firstLine="640" w:firstLineChars="200"/>
        <w:jc w:val="left"/>
        <w:textAlignment w:val="auto"/>
        <w:rPr>
          <w:rFonts w:hint="eastAsia" w:ascii="仿宋" w:hAnsi="仿宋" w:eastAsia="仿宋" w:cs="仿宋"/>
          <w:b w:val="0"/>
          <w:bCs w:val="0"/>
          <w:color w:val="000000" w:themeColor="text1"/>
          <w:kern w:val="0"/>
          <w:sz w:val="30"/>
          <w:szCs w:val="30"/>
          <w:lang w:val="en-US" w:eastAsia="zh-CN"/>
          <w14:textFill>
            <w14:solidFill>
              <w14:schemeClr w14:val="tx1"/>
            </w14:solidFill>
          </w14:textFill>
        </w:rPr>
      </w:pPr>
      <w:r>
        <w:rPr>
          <w:rFonts w:hint="eastAsia" w:ascii="仿宋" w:hAnsi="仿宋" w:eastAsia="仿宋" w:cs="仿宋"/>
          <w:color w:val="000000"/>
          <w:kern w:val="0"/>
          <w:sz w:val="32"/>
          <w:szCs w:val="32"/>
          <w:lang w:val="en-US" w:eastAsia="zh-CN" w:bidi="ar"/>
        </w:rPr>
        <w:t>开展“手拉手 心暖心”师生结对帮扶活动，成立家校委员会、学生会，坚持校企协同，构建起学校、家庭、社会、学生“四位一体”的育人机制；充分发挥课堂作用，开展开学第一课、第二课堂、德育大讲堂、主题教育、职业生涯规划等活动，实现全程育人；坚持以教书育人、课程育人、文化育人、组织育人、管理育人、实践育人、服务育人，让学生在全方位育人模式中全面发展。</w:t>
      </w:r>
    </w:p>
    <w:p w14:paraId="07B28E07">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themeColor="text1"/>
          <w:kern w:val="0"/>
          <w:sz w:val="30"/>
          <w:szCs w:val="30"/>
          <w:lang w:val="en-US" w:eastAsia="zh-CN"/>
          <w14:textFill>
            <w14:solidFill>
              <w14:schemeClr w14:val="tx1"/>
            </w14:solidFill>
          </w14:textFill>
        </w:rPr>
        <w:t>3</w:t>
      </w:r>
      <w:r>
        <w:rPr>
          <w:rFonts w:hint="eastAsia" w:ascii="仿宋" w:hAnsi="仿宋" w:eastAsia="仿宋" w:cs="仿宋"/>
          <w:b w:val="0"/>
          <w:bCs w:val="0"/>
          <w:color w:val="000000" w:themeColor="text1"/>
          <w:kern w:val="0"/>
          <w:sz w:val="30"/>
          <w:szCs w:val="30"/>
          <w14:textFill>
            <w14:solidFill>
              <w14:schemeClr w14:val="tx1"/>
            </w14:solidFill>
          </w14:textFill>
        </w:rPr>
        <w:t>.</w:t>
      </w:r>
      <w:r>
        <w:rPr>
          <w:rFonts w:hint="eastAsia" w:ascii="仿宋" w:hAnsi="仿宋" w:eastAsia="仿宋" w:cs="仿宋"/>
          <w:b w:val="0"/>
          <w:bCs w:val="0"/>
          <w:color w:val="000000" w:themeColor="text1"/>
          <w:kern w:val="0"/>
          <w:sz w:val="30"/>
          <w:szCs w:val="30"/>
          <w:lang w:val="en-US" w:eastAsia="zh-CN"/>
          <w14:textFill>
            <w14:solidFill>
              <w14:schemeClr w14:val="tx1"/>
            </w14:solidFill>
          </w14:textFill>
        </w:rPr>
        <w:t>6</w:t>
      </w:r>
      <w:r>
        <w:rPr>
          <w:rFonts w:hint="eastAsia" w:ascii="仿宋" w:hAnsi="仿宋" w:eastAsia="仿宋" w:cs="仿宋"/>
          <w:b w:val="0"/>
          <w:bCs w:val="0"/>
          <w:color w:val="000000" w:themeColor="text1"/>
          <w:kern w:val="0"/>
          <w:sz w:val="30"/>
          <w:szCs w:val="30"/>
          <w14:textFill>
            <w14:solidFill>
              <w14:schemeClr w14:val="tx1"/>
            </w14:solidFill>
          </w14:textFill>
        </w:rPr>
        <w:t>.</w:t>
      </w:r>
      <w:r>
        <w:rPr>
          <w:rFonts w:hint="eastAsia" w:ascii="仿宋" w:hAnsi="仿宋" w:eastAsia="仿宋" w:cs="仿宋"/>
          <w:b w:val="0"/>
          <w:bCs w:val="0"/>
          <w:color w:val="000000" w:themeColor="text1"/>
          <w:kern w:val="0"/>
          <w:sz w:val="30"/>
          <w:szCs w:val="30"/>
          <w:lang w:val="en-US" w:eastAsia="zh-CN"/>
          <w14:textFill>
            <w14:solidFill>
              <w14:schemeClr w14:val="tx1"/>
            </w14:solidFill>
          </w14:textFill>
        </w:rPr>
        <w:t>2</w:t>
      </w:r>
      <w:r>
        <w:rPr>
          <w:rFonts w:hint="eastAsia" w:ascii="仿宋" w:hAnsi="仿宋" w:eastAsia="仿宋" w:cs="仿宋"/>
          <w:b w:val="0"/>
          <w:bCs w:val="0"/>
          <w:color w:val="000000"/>
          <w:kern w:val="0"/>
          <w:sz w:val="30"/>
          <w:szCs w:val="30"/>
          <w:lang w:val="en-US" w:eastAsia="zh-CN" w:bidi="ar"/>
        </w:rPr>
        <w:t>坚持改革创新，办有特色的职校</w:t>
      </w:r>
    </w:p>
    <w:p w14:paraId="02E72E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引进“准军事化”管理。对全体学生进行军事教育和军事训练，大力践行“三二二一一”学生管理思路（三指三餐：早餐午餐和晚餐，要求餐前有感恩词、餐中有序安静、餐后干净卫生；二指两操：两操激情跑操和韵律操，展示青春激情活力；二指两休：两休指午休和晚休，要求快速高效睡眠；一指：每天下午一个小时的阳光体育活动，提高学生健康水平；一指：每天晚休前的晚点名，点评总结当天，安排布置第二天），通过教官团队与学生“同吃同住同学习”，实现学生在校期间“时时有人管，事事有人管”，不仅能有效遏止不良习气蔓延、让学生在学习上进步，更能培养学生健康的心理素质，养成良好的行为习惯，从而受益终身。</w:t>
      </w:r>
    </w:p>
    <w:p w14:paraId="3677FE2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lang w:val="en-US" w:eastAsia="zh-CN"/>
        </w:rPr>
      </w:pPr>
      <w:r>
        <w:rPr>
          <w:rFonts w:hint="eastAsia" w:ascii="仿宋" w:hAnsi="仿宋" w:eastAsia="仿宋" w:cs="仿宋"/>
          <w:color w:val="000000"/>
          <w:kern w:val="0"/>
          <w:sz w:val="32"/>
          <w:szCs w:val="32"/>
          <w:lang w:val="en-US" w:eastAsia="zh-CN" w:bidi="ar"/>
        </w:rPr>
        <w:t>推行“6S现场”管理。通过实行6S管理，落实严格要求、严格管理，把落实学校一系列规章制度贯穿到各个活动之中，从大处着眼，小处着手，坚持每天“两扫两查”，不断规范学生的行为，激发学生的学习动力，有效提升学生的职业素养。实施分层教学管理。注重发挥学生在教学活动中的作用，落实分层次教学理念，开展“分层次教学示范课”“分层教学人人过关课 ”活动，广大教师深入探讨课堂教学改革，钻研教材教法，努力打造高效课堂，真正实现让学生自学探究、归纳总结、学练结合、发展收获的课堂教育教学目标，最大程度实现学生的自我发展，促进教学效率的全面提升。</w:t>
      </w:r>
    </w:p>
    <w:p w14:paraId="397D1D6A">
      <w:pPr>
        <w:pStyle w:val="11"/>
        <w:numPr>
          <w:ilvl w:val="0"/>
          <w:numId w:val="0"/>
        </w:num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案例3-1</w:t>
      </w:r>
    </w:p>
    <w:p w14:paraId="52E9E6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宋体" w:hAnsi="宋体" w:eastAsia="宋体" w:cs="宋体"/>
          <w:i w:val="0"/>
          <w:iCs w:val="0"/>
          <w:caps w:val="0"/>
          <w:spacing w:val="7"/>
          <w:sz w:val="32"/>
          <w:szCs w:val="32"/>
          <w:shd w:val="clear" w:fill="FFFFFF"/>
        </w:rPr>
      </w:pPr>
      <w:r>
        <w:rPr>
          <w:rFonts w:hint="eastAsia" w:ascii="宋体" w:hAnsi="宋体" w:eastAsia="宋体" w:cs="宋体"/>
          <w:i w:val="0"/>
          <w:iCs w:val="0"/>
          <w:caps w:val="0"/>
          <w:spacing w:val="7"/>
          <w:sz w:val="32"/>
          <w:szCs w:val="32"/>
          <w:shd w:val="clear" w:fill="FFFFFF"/>
        </w:rPr>
        <w:t>展一技之长 绘出彩人生</w:t>
      </w:r>
    </w:p>
    <w:p w14:paraId="03BAA68D">
      <w:pPr>
        <w:jc w:val="center"/>
        <w:rPr>
          <w:rFonts w:hint="eastAsia" w:ascii="楷体" w:hAnsi="楷体" w:eastAsia="楷体" w:cs="楷体"/>
          <w:sz w:val="32"/>
          <w:szCs w:val="32"/>
          <w:lang w:val="en-US" w:eastAsia="zh-CN"/>
        </w:rPr>
      </w:pPr>
      <w:r>
        <w:rPr>
          <w:rFonts w:hint="eastAsia" w:ascii="楷体" w:hAnsi="楷体" w:eastAsia="楷体" w:cs="楷体"/>
          <w:i w:val="0"/>
          <w:iCs w:val="0"/>
          <w:caps w:val="0"/>
          <w:spacing w:val="7"/>
          <w:sz w:val="32"/>
          <w:szCs w:val="32"/>
          <w:shd w:val="clear" w:fill="FFFFFF"/>
          <w:lang w:eastAsia="zh-CN"/>
        </w:rPr>
        <w:t>——</w:t>
      </w:r>
      <w:r>
        <w:rPr>
          <w:rFonts w:hint="eastAsia" w:ascii="楷体" w:hAnsi="楷体" w:eastAsia="楷体" w:cs="楷体"/>
          <w:i w:val="0"/>
          <w:iCs w:val="0"/>
          <w:caps w:val="0"/>
          <w:spacing w:val="7"/>
          <w:sz w:val="32"/>
          <w:szCs w:val="32"/>
          <w:shd w:val="clear" w:fill="FFFFFF"/>
          <w:lang w:val="en-US" w:eastAsia="zh-CN"/>
        </w:rPr>
        <w:t>平陆县第一高级职业中学举办第二届艺术节系列活动</w:t>
      </w:r>
    </w:p>
    <w:p w14:paraId="4DA8CBBB">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条山沟壑，红叶烂漫；黄河岸边，天鹅翩跹。2023年11月9日，平陆县第一高级职业中学形式多样、内涵丰富的2023年“技能传承中华优秀传统文化”第二届艺术节系列活动之“风雨同舟 砥砺前行”校园才艺展示，使得这个美景如画的夜晚愈加绚烂多彩。</w:t>
      </w:r>
    </w:p>
    <w:p w14:paraId="09DEB86C">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晚7时，活动在2201班全体同学带来的合唱歌曲《篇章》中拉开帷幕。大气恢弘的音乐律动和铿锵透亮的声音唱响职中学子以梦为马，不负韶华，向着心中笃定的未来勇毅前行的人生新篇章。</w:t>
      </w:r>
    </w:p>
    <w:p w14:paraId="3354DB7D">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歌曲、小品、舞蹈、魔术、朗诵……文艺节目轮番上演，讲述着同学们的心声故事，展示了我校学子奋发图强、昂扬向上的精神面貌。活动现场洋溢着热烈喜庆的氛围，全体师生热情高涨，鼓掌声、欢笑声和叫好声此起彼伏。活动在全体同学激扬豪迈的《读中国》声中落下帷幕。</w:t>
      </w:r>
    </w:p>
    <w:p w14:paraId="666FE3AD">
      <w:pPr>
        <w:keepNext w:val="0"/>
        <w:keepLines w:val="0"/>
        <w:widowControl/>
        <w:suppressLineNumbers w:val="0"/>
        <w:ind w:firstLine="736" w:firstLineChars="200"/>
        <w:jc w:val="left"/>
        <w:rPr>
          <w:rFonts w:hint="eastAsia" w:ascii="仿宋" w:hAnsi="仿宋" w:eastAsia="仿宋" w:cs="仿宋"/>
          <w:b w:val="0"/>
          <w:bCs w:val="0"/>
          <w:sz w:val="32"/>
          <w:szCs w:val="32"/>
          <w:lang w:val="en-US" w:eastAsia="zh-CN"/>
        </w:rPr>
      </w:pPr>
      <w:r>
        <w:rPr>
          <w:rFonts w:hint="eastAsia" w:ascii="仿宋" w:hAnsi="仿宋" w:eastAsia="仿宋" w:cs="仿宋"/>
          <w:spacing w:val="24"/>
          <w:kern w:val="0"/>
          <w:sz w:val="32"/>
          <w:szCs w:val="32"/>
          <w:lang w:val="en-US" w:eastAsia="zh-CN" w:bidi="ar"/>
        </w:rPr>
        <w:t>本次活动丰富了校园文化生活，培养了学生的艺术情操，营造了积极向上、健康快乐的校园文化氛围，展示了我校“三全育人”的丰硕成果，助推学校内涵发展。</w:t>
      </w:r>
    </w:p>
    <w:p w14:paraId="05F488A3">
      <w:pPr>
        <w:pStyle w:val="11"/>
        <w:numPr>
          <w:ilvl w:val="0"/>
          <w:numId w:val="0"/>
        </w:numP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4.文化传承</w:t>
      </w:r>
    </w:p>
    <w:p w14:paraId="16CA085A">
      <w:pPr>
        <w:pStyle w:val="11"/>
        <w:numPr>
          <w:ilvl w:val="0"/>
          <w:numId w:val="0"/>
        </w:num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4.1传承工匠精神</w:t>
      </w:r>
    </w:p>
    <w:p w14:paraId="1AEB5563">
      <w:pPr>
        <w:keepNext w:val="0"/>
        <w:keepLines w:val="0"/>
        <w:widowControl/>
        <w:suppressLineNumbers w:val="0"/>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kern w:val="0"/>
          <w:sz w:val="32"/>
          <w:szCs w:val="32"/>
          <w:lang w:val="en-US" w:eastAsia="zh-CN" w:bidi="ar"/>
        </w:rPr>
        <w:t>学校设立了“德育大讲堂”道德教育平台，打造厚德载物、崇尚品德的德育教师团队，培养品学兼优、德才兼备的职中学生。</w:t>
      </w:r>
      <w:r>
        <w:rPr>
          <w:rFonts w:hint="eastAsia" w:ascii="仿宋" w:hAnsi="仿宋" w:eastAsia="仿宋" w:cs="仿宋"/>
          <w:color w:val="auto"/>
          <w:kern w:val="0"/>
          <w:sz w:val="32"/>
          <w:szCs w:val="32"/>
          <w:lang w:val="en-US" w:eastAsia="zh-CN" w:bidi="ar"/>
        </w:rPr>
        <w:t>通过开展《为幸福人生而学习》《孝为德之本》《行孝正当时》《努力践行“悌”道 收获精彩人生》《自律让我出彩》《文明使我有修养》《傅说文化解读之大国匠心》《以诚为本 以信立人》《一规在手 行走全球》《知己明往 循道致远》《珍惜生命 活出精彩》《立志》《做不负韶华的追风少年》</w:t>
      </w:r>
      <w:r>
        <w:rPr>
          <w:rFonts w:hint="eastAsia" w:ascii="仿宋" w:hAnsi="仿宋" w:eastAsia="仿宋" w:cs="仿宋"/>
          <w:kern w:val="0"/>
          <w:sz w:val="32"/>
          <w:szCs w:val="32"/>
          <w:lang w:val="en-US" w:eastAsia="zh-CN" w:bidi="ar"/>
        </w:rPr>
        <w:t>等为主题的系列专题讲座，把立德树人作为教育的中心环节，把思想政治品德教育贯穿教育教学全过程，实现全过程育人、全方位育人。通过“德育大讲堂”不断完善、提高学生的品德，用实际行动，成就出彩中职学生，自觉践行新时代青年的使命任务，崇德力行追逐大国工匠梦。</w:t>
      </w:r>
    </w:p>
    <w:p w14:paraId="1593BA72">
      <w:pPr>
        <w:pStyle w:val="11"/>
        <w:numPr>
          <w:ilvl w:val="0"/>
          <w:numId w:val="0"/>
        </w:num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4.2传承红色基因</w:t>
      </w:r>
    </w:p>
    <w:p w14:paraId="643079E9">
      <w:pPr>
        <w:pStyle w:val="11"/>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学校通过组织师生开展“学雷锋”主题活动，举办“见义勇为英模事迹”报告会，参加种植劳动实践、杜马战役英烈西牛纪念园开展缅怀英烈等活动，感受红色力量，弘扬革命精神，受教育师生近千人次。</w:t>
      </w:r>
    </w:p>
    <w:p w14:paraId="14BDF312">
      <w:pPr>
        <w:pStyle w:val="11"/>
        <w:numPr>
          <w:ilvl w:val="0"/>
          <w:numId w:val="0"/>
        </w:num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4.3传承中华优秀传统文化</w:t>
      </w:r>
    </w:p>
    <w:p w14:paraId="22006F37">
      <w:pPr>
        <w:pStyle w:val="11"/>
        <w:numPr>
          <w:ilvl w:val="0"/>
          <w:numId w:val="0"/>
        </w:numPr>
        <w:ind w:firstLine="640" w:firstLineChars="200"/>
        <w:rPr>
          <w:rFonts w:ascii="宋体" w:hAnsi="宋体" w:eastAsia="宋体" w:cs="宋体"/>
          <w:sz w:val="24"/>
          <w:szCs w:val="24"/>
        </w:rPr>
      </w:pPr>
      <w:r>
        <w:rPr>
          <w:rFonts w:hint="eastAsia" w:ascii="仿宋" w:hAnsi="仿宋" w:eastAsia="仿宋" w:cs="仿宋"/>
          <w:b w:val="0"/>
          <w:bCs w:val="0"/>
          <w:sz w:val="32"/>
          <w:szCs w:val="32"/>
          <w:lang w:val="en-US" w:eastAsia="zh-CN"/>
        </w:rPr>
        <w:t>一年来，学校与平陆县文化馆举办了2023年“非遗进校园”主题活动，全体师生了解并认识“地窖院”所蕴含的历史文化价值，聆听“四弦书”传承人带来的宛转悠扬、如泣如诉的平陆高调，观看平陆县文化馆展出的非物质文化遗产等活动。让学生了解家乡文化，拓展知识视野，对提升学生的综合素养起到了积极作用。</w:t>
      </w:r>
    </w:p>
    <w:p w14:paraId="03F0BB1F">
      <w:pPr>
        <w:pStyle w:val="11"/>
        <w:numPr>
          <w:ilvl w:val="0"/>
          <w:numId w:val="0"/>
        </w:num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案例4-1</w:t>
      </w:r>
    </w:p>
    <w:p w14:paraId="0015D4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宋体" w:hAnsi="宋体" w:eastAsia="宋体" w:cs="宋体"/>
          <w:i w:val="0"/>
          <w:iCs w:val="0"/>
          <w:caps w:val="0"/>
          <w:spacing w:val="7"/>
          <w:sz w:val="32"/>
          <w:szCs w:val="32"/>
          <w:shd w:val="clear" w:fill="FFFFFF"/>
        </w:rPr>
      </w:pPr>
      <w:r>
        <w:rPr>
          <w:rFonts w:hint="eastAsia" w:ascii="宋体" w:hAnsi="宋体" w:eastAsia="宋体" w:cs="宋体"/>
          <w:i w:val="0"/>
          <w:iCs w:val="0"/>
          <w:caps w:val="0"/>
          <w:spacing w:val="7"/>
          <w:sz w:val="32"/>
          <w:szCs w:val="32"/>
          <w:shd w:val="clear" w:fill="FFFFFF"/>
        </w:rPr>
        <w:t>又是一年春风暖 “雷锋”就在我身边</w:t>
      </w:r>
    </w:p>
    <w:p w14:paraId="13865F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仿宋" w:hAnsi="仿宋" w:eastAsia="仿宋" w:cs="仿宋"/>
          <w:i w:val="0"/>
          <w:iCs w:val="0"/>
          <w:caps w:val="0"/>
          <w:spacing w:val="7"/>
          <w:sz w:val="32"/>
          <w:szCs w:val="32"/>
          <w:shd w:val="clear" w:fill="FFFFFF"/>
        </w:rPr>
      </w:pPr>
      <w:r>
        <w:rPr>
          <w:rFonts w:hint="eastAsia" w:ascii="仿宋" w:hAnsi="仿宋" w:eastAsia="仿宋" w:cs="仿宋"/>
          <w:i w:val="0"/>
          <w:iCs w:val="0"/>
          <w:caps w:val="0"/>
          <w:spacing w:val="0"/>
          <w:sz w:val="32"/>
          <w:szCs w:val="32"/>
          <w:shd w:val="clear" w:fill="FFFFFF"/>
        </w:rPr>
        <w:t>——</w:t>
      </w:r>
      <w:r>
        <w:rPr>
          <w:rFonts w:hint="eastAsia" w:ascii="仿宋" w:hAnsi="仿宋" w:eastAsia="仿宋" w:cs="仿宋"/>
          <w:i w:val="0"/>
          <w:iCs w:val="0"/>
          <w:caps w:val="0"/>
          <w:spacing w:val="0"/>
          <w:sz w:val="32"/>
          <w:szCs w:val="32"/>
          <w:shd w:val="clear" w:fill="FFFFFF"/>
          <w:lang w:val="en-US" w:eastAsia="zh-CN"/>
        </w:rPr>
        <w:t>平陆县第一高级职业中学</w:t>
      </w:r>
      <w:r>
        <w:rPr>
          <w:rFonts w:hint="eastAsia" w:ascii="仿宋" w:hAnsi="仿宋" w:eastAsia="仿宋" w:cs="仿宋"/>
          <w:i w:val="0"/>
          <w:iCs w:val="0"/>
          <w:caps w:val="0"/>
          <w:spacing w:val="7"/>
          <w:sz w:val="32"/>
          <w:szCs w:val="32"/>
          <w:shd w:val="clear" w:fill="FFFFFF"/>
        </w:rPr>
        <w:t>“学雷锋”主题系列活动掠影</w:t>
      </w:r>
    </w:p>
    <w:p w14:paraId="022BB2B1">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2024年3月5日是第61个学雷锋纪念日，平陆县第一高级职业中学积极开展丰富多彩的“学雷锋”主题系列活动。</w:t>
      </w:r>
    </w:p>
    <w:p w14:paraId="44353BB0">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3月12日，全校上下开展了“弘扬雷锋精神——让青春在奉献中绽放”主题班会和“雷锋精神永存”的主题黑板报活动。大家通过讲述雷锋故事，分享雷锋名言，了解雷锋事迹，交流自己对雷锋精神的理解和感悟。一幅幅内容丰富、色彩艳丽的黑板报，表达了同学们对雷锋精神的深刻感悟及传承和践行雷锋精神的坚定决心。</w:t>
      </w:r>
    </w:p>
    <w:p w14:paraId="0D601CFD">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3月14日，由25名师生组成的志愿者服务队，身穿马甲，手拿夹子、垃圾袋等工具，开展了“绿色文明生活，保护环境正行动”校园清洁志愿活动。小到树叶、纸屑，大到包装袋、饮料瓶等都一一“收入囊中”。此次活动，</w:t>
      </w:r>
      <w:r>
        <w:rPr>
          <w:rFonts w:hint="eastAsia" w:ascii="仿宋" w:hAnsi="仿宋" w:eastAsia="仿宋" w:cs="仿宋"/>
          <w:spacing w:val="24"/>
          <w:kern w:val="0"/>
          <w:sz w:val="32"/>
          <w:szCs w:val="32"/>
          <w:lang w:val="en-US" w:eastAsia="zh-CN" w:bidi="ar"/>
        </w:rPr>
        <w:t>同学们用行动诠释了志愿服务精神，</w:t>
      </w:r>
      <w:r>
        <w:rPr>
          <w:rFonts w:hint="eastAsia" w:ascii="仿宋" w:hAnsi="仿宋" w:eastAsia="仿宋" w:cs="仿宋"/>
          <w:kern w:val="0"/>
          <w:sz w:val="32"/>
          <w:szCs w:val="32"/>
          <w:lang w:val="en-US" w:eastAsia="zh-CN" w:bidi="ar"/>
        </w:rPr>
        <w:t>宣扬了雷锋“不怕苦，不怕累，一心一意为人民群众服务”的奉献精神。</w:t>
      </w:r>
    </w:p>
    <w:p w14:paraId="0EB33886">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3月19日课间操时间，学校中院人头攒动，热闹非凡。学生会干部将同学们带来的旧书籍布置成一个图书分享台，大家根据自己的需求进行借阅。通过此次“弘扬雷锋精神，共筑书香校园”校园图书共享活动，使同学们家中的旧书籍得以循环利用，课外读物实现借阅共享。体现了乐于助人、勤俭节约的雷锋精神，促进“奉献、友爱、互助、进步”的志愿服务精神在我校的传播。</w:t>
      </w:r>
    </w:p>
    <w:p w14:paraId="6CEE27A6">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一笔一画写好字，一言一行做好人。3月19日，我校开展了“弘扬雷锋精神，共筑书香校园”硬笔书法作品展示活动。通过书法比赛，给同学们提供了一个展示自我的舞台，让他们深刻理解和感悟雷锋精神，懂得写好中国字、做好中国人，提升大家的审美素养和文化素养，营造良好的校园文化氛围。</w:t>
      </w:r>
    </w:p>
    <w:p w14:paraId="76BA8AFD">
      <w:pPr>
        <w:keepNext w:val="0"/>
        <w:keepLines w:val="0"/>
        <w:widowControl/>
        <w:suppressLineNumbers w:val="0"/>
        <w:ind w:firstLine="640" w:firstLineChars="200"/>
        <w:jc w:val="left"/>
        <w:rPr>
          <w:rFonts w:hint="eastAsia" w:ascii="宋体" w:hAnsi="宋体" w:eastAsia="宋体" w:cs="宋体"/>
          <w:sz w:val="24"/>
          <w:szCs w:val="24"/>
          <w:lang w:eastAsia="zh-CN"/>
        </w:rPr>
      </w:pPr>
      <w:r>
        <w:rPr>
          <w:rFonts w:hint="eastAsia" w:ascii="仿宋" w:hAnsi="仿宋" w:eastAsia="仿宋" w:cs="仿宋"/>
          <w:kern w:val="0"/>
          <w:sz w:val="32"/>
          <w:szCs w:val="32"/>
          <w:lang w:val="en-US" w:eastAsia="zh-CN" w:bidi="ar"/>
        </w:rPr>
        <w:t>此次“学雷锋”主题系列活动，极大地激发了广大同学服务人民、奉献社会的自觉性，引导团员青年在学习、生活的方方面面，以实际行动发挥示范作用，将雷锋精神内化于心，外化于行，进一步促进“见贤思齐 日新至善”的校风建设。</w:t>
      </w:r>
    </w:p>
    <w:p w14:paraId="0E2AE1E5">
      <w:pPr>
        <w:pStyle w:val="11"/>
        <w:numPr>
          <w:ilvl w:val="0"/>
          <w:numId w:val="0"/>
        </w:numP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5.国际合作</w:t>
      </w:r>
    </w:p>
    <w:p w14:paraId="48F23849">
      <w:pPr>
        <w:keepNext w:val="0"/>
        <w:keepLines w:val="0"/>
        <w:widowControl/>
        <w:suppressLineNumbers w:val="0"/>
        <w:ind w:firstLine="640" w:firstLineChars="200"/>
        <w:jc w:val="left"/>
        <w:rPr>
          <w:rFonts w:hint="eastAsia" w:ascii="仿宋" w:hAnsi="仿宋" w:eastAsia="仿宋" w:cs="仿宋"/>
          <w:b/>
          <w:bCs/>
          <w:sz w:val="32"/>
          <w:szCs w:val="32"/>
          <w:lang w:val="en-US" w:eastAsia="zh-CN"/>
        </w:rPr>
      </w:pPr>
      <w:r>
        <w:rPr>
          <w:rFonts w:hint="eastAsia" w:ascii="仿宋" w:hAnsi="仿宋" w:eastAsia="仿宋" w:cs="仿宋"/>
          <w:kern w:val="0"/>
          <w:sz w:val="32"/>
          <w:szCs w:val="32"/>
          <w:lang w:val="en-US" w:eastAsia="zh-CN" w:bidi="ar"/>
        </w:rPr>
        <w:t>学校本年度未开展国际合作相关工作。</w:t>
      </w:r>
    </w:p>
    <w:p w14:paraId="7E332483">
      <w:pPr>
        <w:pStyle w:val="11"/>
        <w:numPr>
          <w:ilvl w:val="0"/>
          <w:numId w:val="0"/>
        </w:numP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6.产教融合</w:t>
      </w:r>
    </w:p>
    <w:p w14:paraId="597BC406">
      <w:pPr>
        <w:pStyle w:val="11"/>
        <w:numPr>
          <w:ilvl w:val="0"/>
          <w:numId w:val="0"/>
        </w:num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6.1校企双元育人</w:t>
      </w:r>
    </w:p>
    <w:p w14:paraId="3D30F6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 w:val="0"/>
          <w:bCs w:val="0"/>
          <w:sz w:val="32"/>
          <w:szCs w:val="32"/>
          <w:lang w:val="en-US" w:eastAsia="zh-CN"/>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学校积极开展校企合作,是帮助地方经济社会发展、提高毕业生就业、满足企业人才需求，提高学校办学实力的重要途径。健全了校企合作管理机制，制定了《校企合作管理办法》，建立了校企合作的长效机制。</w:t>
      </w:r>
    </w:p>
    <w:p w14:paraId="6FDEA823">
      <w:pPr>
        <w:pStyle w:val="11"/>
        <w:numPr>
          <w:ilvl w:val="0"/>
          <w:numId w:val="0"/>
        </w:num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6.2市域产教联合体建设</w:t>
      </w:r>
    </w:p>
    <w:p w14:paraId="6A2327F7">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紧紧围绕运城市“415”十大工业产业集群、“合汽生材”新兴产业地标的部署安排，根据平陆县产业优势，深化产教融合，深入推进与张店现代农业特色专业镇、山西新环精密度股份公司等龙头企业合作，做到围绕产业办专业、办好专业强专业。在继续提升“双证书”考试质量的同时，继续开展“1+X”界面设计证书试点建设，并组织学生培训，参加考试，完成2023年考试计划，学校的WPS办公应用技能应用、新能源汽车装调与测试、无人机应用技术、生涯规划指导职业资格证书四个科目被列入1+X证书试点院校试点专业。</w:t>
      </w:r>
    </w:p>
    <w:p w14:paraId="74A23B0E">
      <w:pPr>
        <w:pStyle w:val="11"/>
        <w:numPr>
          <w:ilvl w:val="0"/>
          <w:numId w:val="0"/>
        </w:num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6.3行业产教融合共同体建设</w:t>
      </w:r>
    </w:p>
    <w:p w14:paraId="625B38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 w:val="0"/>
          <w:bCs w:val="0"/>
          <w:sz w:val="32"/>
          <w:szCs w:val="32"/>
          <w:lang w:val="en-US" w:eastAsia="zh-CN"/>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与本地企业</w:t>
      </w:r>
      <w:r>
        <w:rPr>
          <w:rFonts w:hint="eastAsia" w:ascii="仿宋" w:hAnsi="仿宋" w:eastAsia="仿宋" w:cs="仿宋"/>
          <w:sz w:val="32"/>
          <w:szCs w:val="32"/>
          <w:lang w:val="en-US" w:eastAsia="zh-CN"/>
        </w:rPr>
        <w:t>晨虹（山西）新材料科技有限公司、山西古虞王农业股份有限公司、平陆县丰平农机专业合作社、平陆县威盛汽车商贸有限公司、</w:t>
      </w:r>
      <w:r>
        <w:rPr>
          <w:rFonts w:hint="eastAsia" w:ascii="仿宋" w:hAnsi="仿宋" w:eastAsia="仿宋" w:cs="仿宋"/>
          <w:color w:val="000000" w:themeColor="text1"/>
          <w:kern w:val="2"/>
          <w:sz w:val="32"/>
          <w:szCs w:val="32"/>
          <w:lang w:val="en-US" w:eastAsia="zh-CN" w:bidi="ar-SA"/>
          <w14:textFill>
            <w14:solidFill>
              <w14:schemeClr w14:val="tx1"/>
            </w14:solidFill>
          </w14:textFill>
        </w:rPr>
        <w:t>平陆群力钢结构有限公司、平陆县岩峰汽修厂、平陆县开发区晨云汽修厂、山西省李超焊接培训中心、平陆县旭东机电配件门市部等企业签订了合作协议。学校先后与北京美泉宫饭店管理有限公司、北京鑫海大厦管理有限公司鑫海锦江大酒店、江苏省群光电能科技（苏州）有限公司、昆山兴协和科技股份有限公司、河南三门峡金利达公司（上海大众三门峡4S店）、各实习基地都能提供充足的岗位满足学生实习需要。根据实施性教学计划，科学合理地安排教学内容与毕业生实习任务，校企合作双方共同开发实训教学案例，产教对接完成实训教学任务。</w:t>
      </w:r>
    </w:p>
    <w:p w14:paraId="1EBE880C">
      <w:pPr>
        <w:pStyle w:val="11"/>
        <w:numPr>
          <w:ilvl w:val="0"/>
          <w:numId w:val="0"/>
        </w:num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6.4开放型区域产教融合实践中心建设</w:t>
      </w:r>
    </w:p>
    <w:p w14:paraId="1FEEE5F3">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学校深刻认识到建设开放型区域产教融合实践中心是创新教育、科技、人才一体化发展的新平台，是破解“产”“教”融合深度不够、融合力度不足的新方法。2022年以来，学校就开放型区域产教融合实践中心建设的占地面积、建筑面积、设备数量、实训工位及人员配备等方面进行论证,此项工作正在推进中。建成后，将实现学生实习实训、社会培训、技术服务等多种功能，打通创新链和产业链精准对接“最后一公里”。</w:t>
      </w:r>
    </w:p>
    <w:p w14:paraId="0D795509">
      <w:pPr>
        <w:keepNext w:val="0"/>
        <w:keepLines w:val="0"/>
        <w:widowControl/>
        <w:suppressLineNumbers w:val="0"/>
        <w:ind w:firstLine="640" w:firstLineChars="200"/>
        <w:jc w:val="left"/>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与山西管理职业学院、山西同文职业技术学院在计算机应用、电子商务、机电技术应用、无人机操控与维修等专业开展“三二分段”五年制贯通培养。</w:t>
      </w:r>
    </w:p>
    <w:p w14:paraId="6AB19276">
      <w:pPr>
        <w:keepNext w:val="0"/>
        <w:keepLines w:val="0"/>
        <w:widowControl/>
        <w:suppressLineNumbers w:val="0"/>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kern w:val="0"/>
          <w:sz w:val="32"/>
          <w:szCs w:val="32"/>
          <w:lang w:val="en-US" w:eastAsia="zh-CN" w:bidi="ar"/>
        </w:rPr>
        <w:t>目前，学校成立平陆县开放大学，并与运城市开放大学、平陆县委组织部联合建设并实施“农村（社区）‘两委’干部大专以上学历全覆盖工程”，先后培养300余人。</w:t>
      </w:r>
    </w:p>
    <w:p w14:paraId="384CCA6A">
      <w:pPr>
        <w:pStyle w:val="11"/>
        <w:numPr>
          <w:ilvl w:val="0"/>
          <w:numId w:val="0"/>
        </w:num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案例6-1</w:t>
      </w:r>
    </w:p>
    <w:p w14:paraId="352D8B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Theme="majorEastAsia" w:hAnsiTheme="majorEastAsia" w:eastAsiaTheme="majorEastAsia" w:cstheme="majorEastAsia"/>
          <w:i w:val="0"/>
          <w:iCs w:val="0"/>
          <w:caps w:val="0"/>
          <w:spacing w:val="7"/>
          <w:sz w:val="32"/>
          <w:szCs w:val="32"/>
          <w:shd w:val="clear" w:fill="FFFFFF"/>
          <w:lang w:val="en-US" w:eastAsia="zh-CN"/>
        </w:rPr>
      </w:pPr>
      <w:r>
        <w:rPr>
          <w:rFonts w:hint="eastAsia" w:asciiTheme="majorEastAsia" w:hAnsiTheme="majorEastAsia" w:eastAsiaTheme="majorEastAsia" w:cstheme="majorEastAsia"/>
          <w:i w:val="0"/>
          <w:iCs w:val="0"/>
          <w:caps w:val="0"/>
          <w:spacing w:val="7"/>
          <w:sz w:val="32"/>
          <w:szCs w:val="32"/>
          <w:shd w:val="clear" w:fill="FFFFFF"/>
        </w:rPr>
        <w:t>山西管理职业学院与</w:t>
      </w:r>
      <w:r>
        <w:rPr>
          <w:rFonts w:hint="eastAsia" w:asciiTheme="majorEastAsia" w:hAnsiTheme="majorEastAsia" w:eastAsiaTheme="majorEastAsia" w:cstheme="majorEastAsia"/>
          <w:i w:val="0"/>
          <w:iCs w:val="0"/>
          <w:caps w:val="0"/>
          <w:spacing w:val="7"/>
          <w:sz w:val="32"/>
          <w:szCs w:val="32"/>
          <w:shd w:val="clear" w:fill="FFFFFF"/>
          <w:lang w:val="en-US" w:eastAsia="zh-CN"/>
        </w:rPr>
        <w:t>平陆县第一高级职业中学</w:t>
      </w:r>
    </w:p>
    <w:p w14:paraId="31053A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Theme="majorEastAsia" w:hAnsiTheme="majorEastAsia" w:eastAsiaTheme="majorEastAsia" w:cstheme="majorEastAsia"/>
          <w:i w:val="0"/>
          <w:iCs w:val="0"/>
          <w:caps w:val="0"/>
          <w:spacing w:val="7"/>
          <w:sz w:val="32"/>
          <w:szCs w:val="32"/>
        </w:rPr>
      </w:pPr>
      <w:r>
        <w:rPr>
          <w:rFonts w:hint="eastAsia" w:asciiTheme="majorEastAsia" w:hAnsiTheme="majorEastAsia" w:eastAsiaTheme="majorEastAsia" w:cstheme="majorEastAsia"/>
          <w:i w:val="0"/>
          <w:iCs w:val="0"/>
          <w:caps w:val="0"/>
          <w:spacing w:val="7"/>
          <w:sz w:val="32"/>
          <w:szCs w:val="32"/>
          <w:shd w:val="clear" w:fill="FFFFFF"/>
        </w:rPr>
        <w:t>开展对口帮扶调研座谈会</w:t>
      </w:r>
    </w:p>
    <w:p w14:paraId="2C278D3C">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2024年4月9日，山西管理现代产业学院院长杨喜梅一行四人赴平陆县第一高级职业中学开展对口帮扶调研座谈会，校长周向阳，副校长郑宝生、张红娟，办公室主任马国杰、教务主任刘亚平、教研教改中心主任贾雪芬参加。</w:t>
      </w:r>
    </w:p>
    <w:p w14:paraId="569EF51D">
      <w:pPr>
        <w:bidi w:val="0"/>
        <w:ind w:firstLine="640" w:firstLineChars="200"/>
        <w:rPr>
          <w:rFonts w:hint="eastAsia" w:ascii="楷体" w:hAnsi="楷体" w:eastAsia="楷体" w:cs="楷体"/>
          <w:b w:val="0"/>
          <w:bCs w:val="0"/>
          <w:sz w:val="32"/>
          <w:szCs w:val="32"/>
          <w:lang w:val="en-US" w:eastAsia="zh-CN"/>
        </w:rPr>
      </w:pPr>
      <w:r>
        <w:rPr>
          <w:rFonts w:hint="eastAsia" w:ascii="仿宋" w:hAnsi="仿宋" w:eastAsia="仿宋" w:cs="仿宋"/>
          <w:sz w:val="32"/>
          <w:szCs w:val="32"/>
          <w:lang w:val="en-US" w:eastAsia="zh-CN"/>
        </w:rPr>
        <w:t>会上，院校双方就共建人才培养、“3+2”“3+4”贯通培养等方面进行深入交流，提出一系列切实可行的建议和意见，推动对口帮扶工作走向深入。</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下一步，平陆县第一高级职业中学将积极把握山西管理职业学院对口帮扶的契机，在教育教学、德育建设、专业设置以及技能大赛等方面与该院深化交流与合作，全力推动各项工作再上新台阶。</w:t>
      </w:r>
    </w:p>
    <w:p w14:paraId="4D941B17">
      <w:pPr>
        <w:pStyle w:val="11"/>
        <w:numPr>
          <w:ilvl w:val="0"/>
          <w:numId w:val="0"/>
        </w:numP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7.发展保障</w:t>
      </w:r>
    </w:p>
    <w:p w14:paraId="71A06CDE">
      <w:pPr>
        <w:pStyle w:val="11"/>
        <w:numPr>
          <w:ilvl w:val="0"/>
          <w:numId w:val="0"/>
        </w:num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7.1党建引领</w:t>
      </w:r>
    </w:p>
    <w:p w14:paraId="2FA67D91">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2022年,在上级党委的坚强领导和全体党员的大力支持下，学校党支部坚持以习近平新时代中国特色社会主义思想为指导,落实全面从严治党要求和党风廉政建设主体责任,紧紧围绕年度重点和学校中心工作,统筹抓好教育教学,全面落实新时代党的建设总要求，不断加强党的政治建设、思想建设、组织建设、作风建设、纪律建设、制度建设，不断增强党支部的凝聚力和战斗力，充分发挥党员先锋模范作用,努力推动构建学习型、服务型、创新型党支部；坚持教学教改等学校重点和中心工作提供了坚强的组织保障。</w:t>
      </w:r>
    </w:p>
    <w:p w14:paraId="77A220D1">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7.1</w:t>
      </w:r>
      <w:r>
        <w:rPr>
          <w:rFonts w:hint="eastAsia" w:ascii="仿宋" w:hAnsi="仿宋" w:eastAsia="仿宋" w:cs="仿宋"/>
          <w:color w:val="000000" w:themeColor="text1"/>
          <w:kern w:val="0"/>
          <w:sz w:val="32"/>
          <w:szCs w:val="32"/>
          <w14:textFill>
            <w14:solidFill>
              <w14:schemeClr w14:val="tx1"/>
            </w14:solidFill>
          </w14:textFill>
        </w:rPr>
        <w:t>.1健全党建工作管理体制情况</w:t>
      </w:r>
    </w:p>
    <w:p w14:paraId="26F81B90">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学</w:t>
      </w:r>
      <w:r>
        <w:rPr>
          <w:rFonts w:hint="eastAsia" w:ascii="Times New Roman" w:hAnsi="Times New Roman" w:eastAsia="仿宋_GB2312" w:cs="Times New Roman"/>
          <w:color w:val="auto"/>
          <w:kern w:val="0"/>
          <w:sz w:val="32"/>
          <w:szCs w:val="32"/>
        </w:rPr>
        <w:t>校党支部现有党员30人，积极分子1人。支部班子健全,设书记1人,委员4人,支委成员共5人。严格落实支部书记抓党建工作第一人责任，做到党建工作支部书记全面抓、分管领导亲自抓、中层干部带头干、全体党员紧密配合，真正形成上下协同，工作联动的工作格局。加强制度建设,制定《三会一课制度》等制度，并严格落实。严格执行认真落实“三会一课”制度、党内学习制度、民主生活会制度、组织生活会制度、党员汇报制度、民主评议党员制度等党内生活制度。支部工作机制健全,运行高效，做到有章可依。</w:t>
      </w:r>
    </w:p>
    <w:p w14:paraId="6C4E1289">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仿宋" w:hAnsi="仿宋" w:eastAsia="仿宋" w:cs="仿宋"/>
          <w:b/>
          <w:bCs/>
          <w:sz w:val="32"/>
          <w:szCs w:val="32"/>
          <w:lang w:val="en-US" w:eastAsia="zh-CN"/>
        </w:rPr>
      </w:pPr>
      <w:r>
        <w:rPr>
          <w:rFonts w:hint="eastAsia" w:ascii="仿宋" w:hAnsi="仿宋" w:eastAsia="仿宋" w:cs="仿宋"/>
          <w:color w:val="000000" w:themeColor="text1"/>
          <w:kern w:val="0"/>
          <w:sz w:val="32"/>
          <w:szCs w:val="32"/>
          <w:lang w:val="en-US" w:eastAsia="zh-CN"/>
          <w14:textFill>
            <w14:solidFill>
              <w14:schemeClr w14:val="tx1"/>
            </w14:solidFill>
          </w14:textFill>
        </w:rPr>
        <w:t>7</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.2推动德育和思想政治情况</w:t>
      </w:r>
    </w:p>
    <w:p w14:paraId="0F13381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抓实党建工作，开展形式多样活动。</w:t>
      </w:r>
      <w:r>
        <w:rPr>
          <w:rFonts w:hint="eastAsia" w:ascii="仿宋" w:hAnsi="仿宋" w:eastAsia="仿宋" w:cs="仿宋"/>
          <w:sz w:val="32"/>
          <w:szCs w:val="32"/>
        </w:rPr>
        <w:t>认真履行“一岗双责”，坚决落实“三会一课”和“三重一大”集体决策制度；推进清廉学校建设</w:t>
      </w:r>
      <w:r>
        <w:rPr>
          <w:rFonts w:hint="eastAsia" w:ascii="仿宋" w:hAnsi="仿宋" w:eastAsia="仿宋" w:cs="仿宋"/>
          <w:sz w:val="32"/>
          <w:szCs w:val="32"/>
          <w:lang w:eastAsia="zh-CN"/>
        </w:rPr>
        <w:t>。</w:t>
      </w:r>
      <w:r>
        <w:rPr>
          <w:rFonts w:hint="eastAsia" w:ascii="仿宋" w:hAnsi="仿宋" w:eastAsia="仿宋" w:cs="仿宋"/>
          <w:sz w:val="32"/>
          <w:szCs w:val="32"/>
        </w:rPr>
        <w:t>3月2日</w:t>
      </w:r>
      <w:r>
        <w:rPr>
          <w:rFonts w:hint="eastAsia" w:ascii="仿宋" w:hAnsi="仿宋" w:eastAsia="仿宋" w:cs="仿宋"/>
          <w:sz w:val="32"/>
          <w:szCs w:val="32"/>
          <w:lang w:eastAsia="zh-CN"/>
        </w:rPr>
        <w:t>学</w:t>
      </w:r>
      <w:r>
        <w:rPr>
          <w:rFonts w:hint="eastAsia" w:ascii="仿宋" w:hAnsi="仿宋" w:eastAsia="仿宋" w:cs="仿宋"/>
          <w:sz w:val="32"/>
          <w:szCs w:val="32"/>
        </w:rPr>
        <w:t>校</w:t>
      </w:r>
      <w:r>
        <w:rPr>
          <w:rFonts w:hint="eastAsia" w:ascii="仿宋" w:hAnsi="仿宋" w:eastAsia="仿宋" w:cs="仿宋"/>
          <w:sz w:val="32"/>
          <w:szCs w:val="32"/>
          <w:lang w:eastAsia="zh-CN"/>
        </w:rPr>
        <w:t>组织</w:t>
      </w:r>
      <w:r>
        <w:rPr>
          <w:rFonts w:hint="eastAsia" w:ascii="仿宋" w:hAnsi="仿宋" w:eastAsia="仿宋" w:cs="仿宋"/>
          <w:sz w:val="32"/>
          <w:szCs w:val="32"/>
        </w:rPr>
        <w:t>“清廉文化”建设——“声动经典 技创未来”诵读比赛；</w:t>
      </w:r>
      <w:r>
        <w:rPr>
          <w:rFonts w:hint="eastAsia" w:ascii="仿宋" w:hAnsi="仿宋" w:eastAsia="仿宋" w:cs="仿宋"/>
          <w:sz w:val="32"/>
          <w:szCs w:val="32"/>
          <w:lang w:eastAsia="zh-CN"/>
        </w:rPr>
        <w:t>党支部定期开展主题党日活动，先后组织全体党员干部学习</w:t>
      </w:r>
      <w:r>
        <w:rPr>
          <w:rFonts w:hint="eastAsia" w:ascii="仿宋" w:hAnsi="仿宋" w:eastAsia="仿宋" w:cs="仿宋"/>
          <w:sz w:val="32"/>
          <w:szCs w:val="32"/>
        </w:rPr>
        <w:t>《2023年政府工作报告》《为实现党的二十大确定的目标任务而团结奋斗》</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加快建设农业强国 推进农业农村现代化</w:t>
      </w:r>
      <w:r>
        <w:rPr>
          <w:rFonts w:hint="eastAsia" w:ascii="仿宋" w:hAnsi="仿宋" w:eastAsia="仿宋" w:cs="仿宋"/>
          <w:b w:val="0"/>
          <w:bCs w:val="0"/>
          <w:sz w:val="32"/>
          <w:szCs w:val="32"/>
          <w:lang w:eastAsia="zh-CN"/>
        </w:rPr>
        <w:t>》</w:t>
      </w:r>
      <w:r>
        <w:rPr>
          <w:rFonts w:hint="eastAsia" w:ascii="仿宋" w:hAnsi="仿宋" w:eastAsia="仿宋" w:cs="仿宋"/>
          <w:sz w:val="32"/>
          <w:szCs w:val="32"/>
        </w:rPr>
        <w:t>等文献</w:t>
      </w:r>
      <w:r>
        <w:rPr>
          <w:rFonts w:hint="eastAsia" w:ascii="仿宋" w:hAnsi="仿宋" w:eastAsia="仿宋" w:cs="仿宋"/>
          <w:sz w:val="32"/>
          <w:szCs w:val="32"/>
          <w:lang w:val="en-US" w:eastAsia="zh-CN"/>
        </w:rPr>
        <w:t>,</w:t>
      </w:r>
      <w:r>
        <w:rPr>
          <w:rFonts w:hint="eastAsia" w:ascii="仿宋" w:hAnsi="仿宋" w:eastAsia="仿宋" w:cs="仿宋"/>
          <w:sz w:val="32"/>
          <w:szCs w:val="32"/>
        </w:rPr>
        <w:t>召开了《学习贯彻习近平总书记在运城考察期间重要指示精神》专题会</w:t>
      </w:r>
      <w:r>
        <w:rPr>
          <w:rFonts w:hint="eastAsia" w:ascii="仿宋" w:hAnsi="仿宋" w:eastAsia="仿宋" w:cs="仿宋"/>
          <w:sz w:val="32"/>
          <w:szCs w:val="32"/>
          <w:lang w:eastAsia="zh-CN"/>
        </w:rPr>
        <w:t>、</w:t>
      </w:r>
      <w:r>
        <w:rPr>
          <w:rFonts w:hint="eastAsia" w:ascii="仿宋" w:hAnsi="仿宋" w:eastAsia="仿宋" w:cs="仿宋"/>
          <w:sz w:val="32"/>
          <w:szCs w:val="32"/>
        </w:rPr>
        <w:t>《学习贯彻习近平新时代中国特色社会主义思想主题教育》部署培训会</w:t>
      </w:r>
      <w:r>
        <w:rPr>
          <w:rFonts w:hint="eastAsia" w:ascii="仿宋" w:hAnsi="仿宋" w:eastAsia="仿宋" w:cs="仿宋"/>
          <w:sz w:val="32"/>
          <w:szCs w:val="32"/>
          <w:lang w:eastAsia="zh-CN"/>
        </w:rPr>
        <w:t>、</w:t>
      </w:r>
      <w:r>
        <w:rPr>
          <w:rFonts w:hint="eastAsia" w:ascii="仿宋" w:hAnsi="仿宋" w:eastAsia="仿宋" w:cs="仿宋"/>
          <w:sz w:val="32"/>
          <w:szCs w:val="32"/>
        </w:rPr>
        <w:t>2023年第三季度意识形态工作专题会议，会上支部书记周向阳做了《第三季度意识形态方面存在的问题及改进措施》的专题报告；完成了2023年7-9月份意识形态总结及《2023年第二（三）季度意识形态工作分析研判报告》。</w:t>
      </w:r>
      <w:r>
        <w:rPr>
          <w:rFonts w:hint="eastAsia" w:ascii="仿宋" w:hAnsi="仿宋" w:eastAsia="仿宋" w:cs="仿宋"/>
          <w:sz w:val="32"/>
          <w:szCs w:val="32"/>
          <w:lang w:eastAsia="zh-CN"/>
        </w:rPr>
        <w:t>提高政治站位，做好帮扶工作，召开平陆县第一高级职业中学驻村帮扶古城村巩固衔接座谈会，领导班子对帮扶对象进行走访、了解实情、解决困难，驻村人员坚持驻村帮扶，表现优秀；</w:t>
      </w:r>
      <w:r>
        <w:rPr>
          <w:rFonts w:hint="eastAsia" w:ascii="仿宋" w:hAnsi="仿宋" w:eastAsia="仿宋" w:cs="仿宋"/>
          <w:sz w:val="32"/>
          <w:szCs w:val="32"/>
          <w:lang w:val="en-US" w:eastAsia="zh-CN"/>
        </w:rPr>
        <w:t>清明节前夕，</w:t>
      </w:r>
      <w:r>
        <w:rPr>
          <w:rFonts w:hint="eastAsia" w:ascii="仿宋" w:hAnsi="仿宋" w:eastAsia="仿宋" w:cs="仿宋"/>
          <w:sz w:val="32"/>
          <w:szCs w:val="40"/>
          <w:lang w:val="en-US" w:eastAsia="zh-CN"/>
        </w:rPr>
        <w:t>以班级为单位，组织开展网上祭英烈活动；组织新团员进行团课学习及入团仪式；</w:t>
      </w:r>
      <w:r>
        <w:rPr>
          <w:rFonts w:hint="eastAsia" w:ascii="仿宋_GB2312" w:eastAsia="仿宋_GB2312"/>
          <w:sz w:val="32"/>
        </w:rPr>
        <w:t>开展德育大讲堂</w:t>
      </w:r>
      <w:r>
        <w:rPr>
          <w:rFonts w:hint="eastAsia" w:ascii="仿宋_GB2312" w:eastAsia="仿宋_GB2312"/>
          <w:sz w:val="32"/>
          <w:lang w:eastAsia="zh-CN"/>
        </w:rPr>
        <w:t>、主题班会课和</w:t>
      </w:r>
      <w:r>
        <w:rPr>
          <w:rFonts w:hint="eastAsia" w:ascii="仿宋" w:hAnsi="仿宋" w:eastAsia="仿宋" w:cs="仿宋"/>
          <w:sz w:val="32"/>
          <w:szCs w:val="32"/>
          <w:lang w:val="en-US" w:eastAsia="zh-CN"/>
        </w:rPr>
        <w:t>“学习党的二十大 奋进新征程”2023年入团仪式活动。</w:t>
      </w:r>
    </w:p>
    <w:p w14:paraId="1BB2AA50">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firstLine="643" w:firstLineChars="200"/>
        <w:rPr>
          <w:rStyle w:val="13"/>
          <w:rFonts w:hint="eastAsia" w:ascii="仿宋" w:hAnsi="仿宋" w:eastAsia="仿宋" w:cs="仿宋"/>
          <w:b w:val="0"/>
          <w:bCs/>
          <w:sz w:val="32"/>
          <w:szCs w:val="32"/>
          <w:lang w:eastAsia="zh-CN"/>
        </w:rPr>
      </w:pPr>
      <w:r>
        <w:rPr>
          <w:rStyle w:val="13"/>
          <w:rFonts w:hint="eastAsia" w:ascii="仿宋" w:hAnsi="仿宋" w:eastAsia="仿宋" w:cs="仿宋"/>
          <w:b/>
          <w:bCs w:val="0"/>
          <w:sz w:val="32"/>
          <w:szCs w:val="32"/>
        </w:rPr>
        <w:t>规范落实党内制度</w:t>
      </w:r>
      <w:r>
        <w:rPr>
          <w:rStyle w:val="13"/>
          <w:rFonts w:hint="eastAsia" w:ascii="仿宋" w:hAnsi="仿宋" w:eastAsia="仿宋" w:cs="仿宋"/>
          <w:b/>
          <w:bCs w:val="0"/>
          <w:sz w:val="32"/>
          <w:szCs w:val="32"/>
          <w:lang w:eastAsia="zh-CN"/>
        </w:rPr>
        <w:t>，积极构建基层党建工作科学、民主、制度、规范化党建新格局</w:t>
      </w:r>
      <w:r>
        <w:rPr>
          <w:rStyle w:val="13"/>
          <w:rFonts w:hint="eastAsia" w:ascii="仿宋" w:hAnsi="仿宋" w:eastAsia="仿宋" w:cs="仿宋"/>
          <w:b/>
          <w:bCs w:val="0"/>
          <w:sz w:val="32"/>
          <w:szCs w:val="32"/>
        </w:rPr>
        <w:t>。</w:t>
      </w:r>
      <w:r>
        <w:rPr>
          <w:rStyle w:val="13"/>
          <w:rFonts w:hint="eastAsia" w:ascii="仿宋" w:hAnsi="仿宋" w:eastAsia="仿宋" w:cs="仿宋"/>
          <w:b w:val="0"/>
          <w:bCs/>
          <w:sz w:val="32"/>
          <w:szCs w:val="32"/>
        </w:rPr>
        <w:t>严格执行“三会一课”制度，确保“三会一课”的数量和质量，不断完善和规范党员组织生活；规范开展主题党日活动，党支部严格按规定每月第一周周一下午开展一次主题党日活动，并按时向上级党委报送学习内容及学习情况；组织全体党员开展“党员干部作风大整顿”组织生活会，全体党员自查自纠，认真查检自身的不足，并做出相应的整改措施；规范党员管理和党费收缴，支部采取按月收缴的方式，确保按时、足额收缴并及时上交上级党委；严格按照入党程序，积极发展新党员</w:t>
      </w:r>
      <w:r>
        <w:rPr>
          <w:rStyle w:val="13"/>
          <w:rFonts w:hint="eastAsia" w:ascii="仿宋" w:hAnsi="仿宋" w:eastAsia="仿宋" w:cs="仿宋"/>
          <w:b w:val="0"/>
          <w:bCs/>
          <w:sz w:val="32"/>
          <w:szCs w:val="32"/>
          <w:lang w:eastAsia="zh-CN"/>
        </w:rPr>
        <w:t>。</w:t>
      </w:r>
    </w:p>
    <w:p w14:paraId="50A94F8A">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firstLine="643" w:firstLineChars="200"/>
        <w:rPr>
          <w:rFonts w:hint="eastAsia" w:ascii="楷体" w:hAnsi="楷体" w:eastAsia="楷体" w:cs="楷体"/>
          <w:b w:val="0"/>
          <w:bCs w:val="0"/>
          <w:sz w:val="32"/>
          <w:szCs w:val="32"/>
          <w:lang w:val="en-US" w:eastAsia="zh-CN"/>
        </w:rPr>
      </w:pPr>
      <w:r>
        <w:rPr>
          <w:rStyle w:val="13"/>
          <w:rFonts w:hint="eastAsia" w:ascii="仿宋" w:hAnsi="仿宋" w:eastAsia="仿宋" w:cs="仿宋"/>
          <w:b/>
          <w:bCs w:val="0"/>
          <w:sz w:val="32"/>
          <w:szCs w:val="32"/>
        </w:rPr>
        <w:t>开展清廉文化进校园活动，让廉洁文化植根师生，清风正气润</w:t>
      </w:r>
      <w:r>
        <w:rPr>
          <w:rStyle w:val="13"/>
          <w:rFonts w:hint="eastAsia" w:ascii="仿宋" w:hAnsi="仿宋" w:eastAsia="仿宋" w:cs="仿宋"/>
          <w:b/>
          <w:bCs w:val="0"/>
          <w:sz w:val="32"/>
          <w:szCs w:val="32"/>
          <w:lang w:eastAsia="zh-CN"/>
        </w:rPr>
        <w:t>泽</w:t>
      </w:r>
      <w:r>
        <w:rPr>
          <w:rStyle w:val="13"/>
          <w:rFonts w:hint="eastAsia" w:ascii="仿宋" w:hAnsi="仿宋" w:eastAsia="仿宋" w:cs="仿宋"/>
          <w:b/>
          <w:bCs w:val="0"/>
          <w:sz w:val="32"/>
          <w:szCs w:val="32"/>
        </w:rPr>
        <w:t>校园。</w:t>
      </w:r>
      <w:r>
        <w:rPr>
          <w:rFonts w:hint="eastAsia" w:ascii="仿宋" w:hAnsi="仿宋" w:eastAsia="仿宋" w:cs="仿宋"/>
          <w:color w:val="auto"/>
          <w:kern w:val="2"/>
          <w:sz w:val="32"/>
          <w:szCs w:val="32"/>
        </w:rPr>
        <w:t>教职工学习并签订师德师风承诺书和不违规参加课外补课活动承诺书等活动</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在微信公众号开辟《平陆职教人风采录》宣传专栏，全面展示广大教师扎根职业教育沃土、醉心铸魂育人的卓越风采</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增强全校教师教书育人的责任感、使命感和自豪感，充分调动广大教师的工作热情</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严格执行财务管理制度</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推进清廉学校建设，并顺利通过检查验收</w:t>
      </w:r>
      <w:r>
        <w:rPr>
          <w:rFonts w:hint="eastAsia" w:ascii="仿宋" w:hAnsi="仿宋" w:eastAsia="仿宋" w:cs="仿宋"/>
          <w:color w:val="auto"/>
          <w:kern w:val="2"/>
          <w:sz w:val="32"/>
          <w:szCs w:val="32"/>
          <w:lang w:eastAsia="zh-CN"/>
        </w:rPr>
        <w:t>；平陆县人大到学校开展执法检查，对该校近年来取得的成绩给予充分肯定。</w:t>
      </w:r>
    </w:p>
    <w:p w14:paraId="5014F6D5">
      <w:pPr>
        <w:pStyle w:val="11"/>
        <w:numPr>
          <w:ilvl w:val="0"/>
          <w:numId w:val="0"/>
        </w:num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7.2政策落实</w:t>
      </w:r>
    </w:p>
    <w:p w14:paraId="655A83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7.2.1</w:t>
      </w:r>
      <w:r>
        <w:rPr>
          <w:rFonts w:hint="eastAsia" w:ascii="仿宋" w:hAnsi="仿宋" w:eastAsia="仿宋" w:cs="仿宋"/>
          <w:b w:val="0"/>
          <w:bCs w:val="0"/>
          <w:color w:val="000000" w:themeColor="text1"/>
          <w:sz w:val="32"/>
          <w:szCs w:val="32"/>
          <w:lang w:eastAsia="zh-CN"/>
          <w14:textFill>
            <w14:solidFill>
              <w14:schemeClr w14:val="tx1"/>
            </w14:solidFill>
          </w14:textFill>
        </w:rPr>
        <w:t>国家政策落实</w:t>
      </w:r>
    </w:p>
    <w:p w14:paraId="3456884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sz w:val="32"/>
          <w:szCs w:val="32"/>
          <w:lang w:eastAsia="zh-CN"/>
        </w:rPr>
      </w:pPr>
      <w:r>
        <w:rPr>
          <w:rFonts w:hint="eastAsia" w:ascii="仿宋" w:hAnsi="仿宋" w:eastAsia="仿宋" w:cs="仿宋"/>
          <w:color w:val="000000"/>
          <w:kern w:val="0"/>
          <w:sz w:val="32"/>
          <w:szCs w:val="32"/>
          <w:lang w:val="en-US" w:eastAsia="zh-CN" w:bidi="ar"/>
        </w:rPr>
        <w:t>学校深入贯彻习近平总书记关于职业教育的重要指示和全国职业教育大会精神，贯彻落实新修订的《中华人民共和国职业教育法》《国家职业教育改革实施方案》《职业教育提质培优行动计划（2020—2023 年）》等文件精神及关键举措，反映国家和省决策部署在职业教育领域的改革实践，学校以党史学习教育</w:t>
      </w:r>
      <w:bookmarkStart w:id="0" w:name="_GoBack"/>
      <w:bookmarkEnd w:id="0"/>
      <w:r>
        <w:rPr>
          <w:rFonts w:hint="eastAsia" w:ascii="仿宋" w:hAnsi="仿宋" w:eastAsia="仿宋" w:cs="仿宋"/>
          <w:color w:val="000000"/>
          <w:kern w:val="0"/>
          <w:sz w:val="32"/>
          <w:szCs w:val="32"/>
          <w:lang w:val="en-US" w:eastAsia="zh-CN" w:bidi="ar"/>
        </w:rPr>
        <w:t>为引领，优化政策供给，突出项目引导，加大经费投入，改善校园环境，完善教学设备，推动中职教育提质培优、增值赋能，从地方立法、发展规划、专项政策、地方标准等方面的要求出发，保障学校职业教育全面健康发展。</w:t>
      </w:r>
    </w:p>
    <w:p w14:paraId="33F428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7.2.2</w:t>
      </w:r>
      <w:r>
        <w:rPr>
          <w:rFonts w:hint="eastAsia" w:ascii="仿宋" w:hAnsi="仿宋" w:eastAsia="仿宋" w:cs="仿宋"/>
          <w:b w:val="0"/>
          <w:bCs w:val="0"/>
          <w:color w:val="000000" w:themeColor="text1"/>
          <w:sz w:val="32"/>
          <w:szCs w:val="32"/>
          <w:lang w:eastAsia="zh-CN"/>
          <w14:textFill>
            <w14:solidFill>
              <w14:schemeClr w14:val="tx1"/>
            </w14:solidFill>
          </w14:textFill>
        </w:rPr>
        <w:t>地方政策落实</w:t>
      </w:r>
    </w:p>
    <w:p w14:paraId="6792475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楷体" w:hAnsi="楷体" w:eastAsia="楷体" w:cs="楷体"/>
          <w:b w:val="0"/>
          <w:bCs w:val="0"/>
          <w:sz w:val="32"/>
          <w:szCs w:val="32"/>
          <w:lang w:val="en-US" w:eastAsia="zh-CN"/>
        </w:rPr>
      </w:pPr>
      <w:r>
        <w:rPr>
          <w:rFonts w:hint="eastAsia" w:ascii="仿宋" w:hAnsi="仿宋" w:eastAsia="仿宋" w:cs="仿宋"/>
          <w:color w:val="000000"/>
          <w:kern w:val="0"/>
          <w:sz w:val="32"/>
          <w:szCs w:val="32"/>
          <w:lang w:val="en-US" w:eastAsia="zh-CN" w:bidi="ar"/>
        </w:rPr>
        <w:t>学校根据《关于推动现代职业教育高质量发展的意见》《运城市推进职业教育改革发展行动计划》等文件精神，巩固职业教育类型定位，构建现代职业教育体系，服务技能型社会建设。学校因地制宜、统筹推进职业教育与就业指导协调发展，建立“职教高考”制度，完善“文化素质+职业技能”办学理念，从过去单一的就业模式变为高职高考与就业指导并重，加强中职升高职的教学管理，不断创新教育理念，把高职班办成吸引优质生源的一个品牌。</w:t>
      </w:r>
    </w:p>
    <w:p w14:paraId="2155EFCB">
      <w:pPr>
        <w:keepNext w:val="0"/>
        <w:keepLines w:val="0"/>
        <w:pageBreakBefore w:val="0"/>
        <w:widowControl/>
        <w:kinsoku/>
        <w:wordWrap/>
        <w:overflowPunct/>
        <w:topLinePunct w:val="0"/>
        <w:autoSpaceDE/>
        <w:autoSpaceDN/>
        <w:bidi w:val="0"/>
        <w:adjustRightInd/>
        <w:snapToGrid/>
        <w:spacing w:line="560" w:lineRule="exact"/>
        <w:ind w:firstLine="6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7.</w:t>
      </w:r>
      <w:r>
        <w:rPr>
          <w:rFonts w:hint="eastAsia" w:ascii="Times New Roman" w:hAnsi="Times New Roman" w:eastAsia="仿宋_GB2312" w:cs="Times New Roman"/>
          <w:color w:val="000000" w:themeColor="text1"/>
          <w:kern w:val="0"/>
          <w:sz w:val="32"/>
          <w:szCs w:val="32"/>
          <w14:textFill>
            <w14:solidFill>
              <w14:schemeClr w14:val="tx1"/>
            </w14:solidFill>
          </w14:textFill>
        </w:rPr>
        <w:t>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kern w:val="0"/>
          <w:sz w:val="32"/>
          <w:szCs w:val="32"/>
          <w14:textFill>
            <w14:solidFill>
              <w14:schemeClr w14:val="tx1"/>
            </w14:solidFill>
          </w14:textFill>
        </w:rPr>
        <w:t>资助情况</w:t>
      </w:r>
    </w:p>
    <w:p w14:paraId="0638685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Style w:val="13"/>
          <w:rFonts w:hint="eastAsia" w:ascii="仿宋" w:hAnsi="仿宋" w:eastAsia="仿宋" w:cs="仿宋"/>
          <w:b w:val="0"/>
          <w:bCs/>
          <w:sz w:val="32"/>
          <w:szCs w:val="32"/>
          <w:lang w:eastAsia="zh-CN"/>
        </w:rPr>
        <w:t>学校高度重视学生资助工作，成立了学生资助工作领导小组，制定了详细的学生资助方案，严格按照资助政策和程序，对家庭经济困难学生进行精准识别和资助。202</w:t>
      </w:r>
      <w:r>
        <w:rPr>
          <w:rStyle w:val="13"/>
          <w:rFonts w:hint="eastAsia" w:ascii="仿宋" w:hAnsi="仿宋" w:eastAsia="仿宋" w:cs="仿宋"/>
          <w:b w:val="0"/>
          <w:bCs/>
          <w:sz w:val="32"/>
          <w:szCs w:val="32"/>
          <w:lang w:val="en-US" w:eastAsia="zh-CN"/>
        </w:rPr>
        <w:t>3—2024年度</w:t>
      </w:r>
      <w:r>
        <w:rPr>
          <w:rStyle w:val="13"/>
          <w:rFonts w:hint="eastAsia" w:ascii="仿宋" w:hAnsi="仿宋" w:eastAsia="仿宋" w:cs="仿宋"/>
          <w:b w:val="0"/>
          <w:bCs/>
          <w:sz w:val="32"/>
          <w:szCs w:val="32"/>
          <w:lang w:eastAsia="zh-CN"/>
        </w:rPr>
        <w:t>，学校共资助学生 2</w:t>
      </w:r>
      <w:r>
        <w:rPr>
          <w:rStyle w:val="13"/>
          <w:rFonts w:hint="eastAsia" w:ascii="仿宋" w:hAnsi="仿宋" w:eastAsia="仿宋" w:cs="仿宋"/>
          <w:b w:val="0"/>
          <w:bCs/>
          <w:sz w:val="32"/>
          <w:szCs w:val="32"/>
          <w:lang w:val="en-US" w:eastAsia="zh-CN"/>
        </w:rPr>
        <w:t>71</w:t>
      </w:r>
      <w:r>
        <w:rPr>
          <w:rStyle w:val="13"/>
          <w:rFonts w:hint="eastAsia" w:ascii="仿宋" w:hAnsi="仿宋" w:eastAsia="仿宋" w:cs="仿宋"/>
          <w:b w:val="0"/>
          <w:bCs/>
          <w:sz w:val="32"/>
          <w:szCs w:val="32"/>
          <w:lang w:eastAsia="zh-CN"/>
        </w:rPr>
        <w:t>人，发放资助金额 2</w:t>
      </w:r>
      <w:r>
        <w:rPr>
          <w:rStyle w:val="13"/>
          <w:rFonts w:hint="eastAsia" w:ascii="仿宋" w:hAnsi="仿宋" w:eastAsia="仿宋" w:cs="仿宋"/>
          <w:b w:val="0"/>
          <w:bCs/>
          <w:sz w:val="32"/>
          <w:szCs w:val="32"/>
          <w:lang w:val="en-US" w:eastAsia="zh-CN"/>
        </w:rPr>
        <w:t>7</w:t>
      </w:r>
      <w:r>
        <w:rPr>
          <w:rStyle w:val="13"/>
          <w:rFonts w:hint="eastAsia" w:ascii="仿宋" w:hAnsi="仿宋" w:eastAsia="仿宋" w:cs="仿宋"/>
          <w:b w:val="0"/>
          <w:bCs/>
          <w:sz w:val="32"/>
          <w:szCs w:val="32"/>
          <w:lang w:eastAsia="zh-CN"/>
        </w:rPr>
        <w:t>.</w:t>
      </w:r>
      <w:r>
        <w:rPr>
          <w:rStyle w:val="13"/>
          <w:rFonts w:hint="eastAsia" w:ascii="仿宋" w:hAnsi="仿宋" w:eastAsia="仿宋" w:cs="仿宋"/>
          <w:b w:val="0"/>
          <w:bCs/>
          <w:sz w:val="32"/>
          <w:szCs w:val="32"/>
          <w:lang w:val="en-US" w:eastAsia="zh-CN"/>
        </w:rPr>
        <w:t>1</w:t>
      </w:r>
      <w:r>
        <w:rPr>
          <w:rStyle w:val="13"/>
          <w:rFonts w:hint="eastAsia" w:ascii="仿宋" w:hAnsi="仿宋" w:eastAsia="仿宋" w:cs="仿宋"/>
          <w:b w:val="0"/>
          <w:bCs/>
          <w:sz w:val="32"/>
          <w:szCs w:val="32"/>
          <w:lang w:eastAsia="zh-CN"/>
        </w:rPr>
        <w:t>万元，确保了每一位家庭经济困难学生都能顺利完成学业，不让一个学生因家庭经济困难而辍学。</w:t>
      </w:r>
    </w:p>
    <w:p w14:paraId="6F5BB389">
      <w:pPr>
        <w:keepNext w:val="0"/>
        <w:keepLines w:val="0"/>
        <w:pageBreakBefore w:val="0"/>
        <w:widowControl/>
        <w:kinsoku/>
        <w:wordWrap/>
        <w:overflowPunct/>
        <w:topLinePunct w:val="0"/>
        <w:autoSpaceDE/>
        <w:autoSpaceDN/>
        <w:bidi w:val="0"/>
        <w:adjustRightInd/>
        <w:snapToGrid/>
        <w:spacing w:line="560" w:lineRule="exact"/>
        <w:ind w:firstLine="6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7</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免学费情况</w:t>
      </w:r>
    </w:p>
    <w:p w14:paraId="55123FFF">
      <w:pPr>
        <w:spacing w:line="560" w:lineRule="exac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按照上级要求，学校成立以校长为组长的学籍管理办公室，规范程序，严格管理，按照“全国中等职业学校学生管理信息系统”实行网上注册、网上管理、中途学生信息变动及时异动，确保学生信息真实有效， 严格落实全日制在校生全部享受免学费政策和补助标准，确保每一名学生都能享受到国家优惠政策。2023—2024年度免学费人数636人，其中职业中专学生364人，职业高中学生272人；二是严格补助标准，职业中专每生每年2500元，职业高中每生每年2000元；三是地方资金配套到位，省县比例按要求落实到位，确保每一名学生都能享受到国家优惠政策；四是免学费拨付情况：2023年拨付资金</w:t>
      </w:r>
      <w:r>
        <w:rPr>
          <w:rFonts w:hint="eastAsia" w:ascii="仿宋" w:hAnsi="仿宋" w:eastAsia="仿宋" w:cs="仿宋"/>
          <w:color w:val="000000" w:themeColor="text1"/>
          <w:kern w:val="2"/>
          <w:sz w:val="32"/>
          <w:szCs w:val="32"/>
          <w:lang w:val="en-US" w:eastAsia="zh-CN" w:bidi="ar-SA"/>
          <w14:textFill>
            <w14:solidFill>
              <w14:schemeClr w14:val="tx1"/>
            </w14:solidFill>
          </w14:textFill>
        </w:rPr>
        <w:t>233.55</w:t>
      </w:r>
      <w:r>
        <w:rPr>
          <w:rFonts w:hint="eastAsia" w:ascii="仿宋" w:hAnsi="仿宋" w:eastAsia="仿宋" w:cs="仿宋"/>
          <w:color w:val="000000" w:themeColor="text1"/>
          <w:sz w:val="32"/>
          <w:szCs w:val="32"/>
          <w:lang w:val="en-US" w:eastAsia="zh-CN"/>
          <w14:textFill>
            <w14:solidFill>
              <w14:schemeClr w14:val="tx1"/>
            </w14:solidFill>
          </w14:textFill>
        </w:rPr>
        <w:t>万元（其中中央及省191万元，县42.55万元）。</w:t>
      </w:r>
    </w:p>
    <w:p w14:paraId="3EB22FFE">
      <w:pPr>
        <w:pStyle w:val="11"/>
        <w:keepNext w:val="0"/>
        <w:keepLines w:val="0"/>
        <w:pageBreakBefore w:val="0"/>
        <w:kinsoku/>
        <w:wordWrap/>
        <w:overflowPunct/>
        <w:topLinePunct w:val="0"/>
        <w:autoSpaceDE/>
        <w:autoSpaceDN/>
        <w:bidi w:val="0"/>
        <w:adjustRightInd/>
        <w:snapToGrid/>
        <w:spacing w:after="0"/>
        <w:ind w:left="0" w:leftChars="0" w:firstLine="0" w:firstLineChars="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3</w:t>
      </w:r>
      <w:r>
        <w:rPr>
          <w:rFonts w:hint="eastAsia" w:ascii="仿宋" w:hAnsi="仿宋" w:eastAsia="仿宋" w:cs="仿宋"/>
          <w:color w:val="000000" w:themeColor="text1"/>
          <w:kern w:val="0"/>
          <w:sz w:val="32"/>
          <w:szCs w:val="32"/>
          <w14:textFill>
            <w14:solidFill>
              <w14:schemeClr w14:val="tx1"/>
            </w14:solidFill>
          </w14:textFill>
        </w:rPr>
        <w:t>助学金及贫困生补助落实情况</w:t>
      </w:r>
    </w:p>
    <w:p w14:paraId="2A686FF2">
      <w:pPr>
        <w:spacing w:line="560" w:lineRule="exac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学校成立了以校长为组长的助学金评审领导小组，每年新生到校后贫困生提出资助申请，在班级评议后报学校资助办，资助办根据班级意见结合招生办到学生家庭进行的调查情况，确定当年受助学生，再在公示栏公示资助名单，接受全校师生监督。同时按照要求，对每一位受助学生建立一套完整的学籍受助档案。2023年秋学段享受资助学生137人，其他贫困生46人，建档立卡户91人；2024年春学段享受资助学生134人，其他贫困生43人，建档立卡户91人。每学期助学资金到账后，全部打入受助学生提供银行卡中，专款专用，专人负责。评审与发放工作在县教育主管部门和学校纪检监督下进行，公开、公平、公正，接受社会监督，没有发生上访和违规行为，受到上级好评。</w:t>
      </w:r>
    </w:p>
    <w:p w14:paraId="2B4A5FB7">
      <w:pPr>
        <w:keepNext w:val="0"/>
        <w:keepLines w:val="0"/>
        <w:pageBreakBefore w:val="0"/>
        <w:widowControl/>
        <w:kinsoku/>
        <w:wordWrap/>
        <w:overflowPunct/>
        <w:topLinePunct w:val="0"/>
        <w:autoSpaceDE/>
        <w:autoSpaceDN/>
        <w:bidi w:val="0"/>
        <w:adjustRightInd/>
        <w:snapToGrid/>
        <w:spacing w:line="560" w:lineRule="exact"/>
        <w:ind w:firstLine="6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7</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 xml:space="preserve"> 中职国家奖学金</w:t>
      </w:r>
    </w:p>
    <w:p w14:paraId="7118B754">
      <w:pPr>
        <w:spacing w:line="560" w:lineRule="exact"/>
        <w:ind w:firstLine="640" w:firstLineChars="200"/>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学校严格按照《中等职业教育国家奖学金评审暂行办法》之规定，认真组织开展了2023—2024学年度中职奖学金评审工作。在全校学生中间开展了广泛宣传，积极动员符合条件的学生进行申报，严格按照中职国家奖学金评审要求，综合学生品德表现、学业成绩等因素，经班级、年级推荐，学校国家奖学金评审委员会审核，同意推荐员毅凯同学为2023—2024学年度中职国家奖学金拟资助对象，同时在校内进行了公示，公示期满无异议，随后经县、市、省、国家等资助部门逐级审核公示通过，于2024年12月份前中职国家奖学金6000元分别发放至受助学生手中。</w:t>
      </w:r>
    </w:p>
    <w:p w14:paraId="4D582995">
      <w:pPr>
        <w:pStyle w:val="11"/>
        <w:numPr>
          <w:ilvl w:val="0"/>
          <w:numId w:val="0"/>
        </w:num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7.3学校治理</w:t>
      </w:r>
    </w:p>
    <w:p w14:paraId="252CA7DC">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一年来，学校继续</w:t>
      </w:r>
      <w:r>
        <w:rPr>
          <w:rFonts w:hint="eastAsia" w:ascii="仿宋" w:hAnsi="仿宋" w:eastAsia="仿宋" w:cs="仿宋"/>
          <w:sz w:val="32"/>
          <w:szCs w:val="32"/>
        </w:rPr>
        <w:t>要求思政教育见教案，进课堂；坚持进行激情跑操、韵律课间操、餐前感恩词</w:t>
      </w:r>
      <w:r>
        <w:rPr>
          <w:rFonts w:hint="eastAsia" w:ascii="仿宋" w:hAnsi="仿宋" w:eastAsia="仿宋" w:cs="仿宋"/>
          <w:sz w:val="32"/>
          <w:szCs w:val="32"/>
          <w:lang w:eastAsia="zh-CN"/>
        </w:rPr>
        <w:t>等</w:t>
      </w:r>
      <w:r>
        <w:rPr>
          <w:rFonts w:hint="eastAsia" w:ascii="仿宋" w:hAnsi="仿宋" w:eastAsia="仿宋" w:cs="仿宋"/>
          <w:sz w:val="32"/>
          <w:szCs w:val="32"/>
        </w:rPr>
        <w:t>活动；举办“做自己情绪的主人”心理健康教育讲座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教官团队与学生“同吃同住同学习”，进一步夯实了“一岗双责”、值班领导24小时值班、班主任跟班、定期排查和演练、主题班会和讲座教育、周末提醒等安全常规工作，保障了学生在校期间“时时有人管 事事有人管”，织密了“纵向抓延伸 横向抓覆盖”的“抓日常 日常抓”的安全管理网格。</w:t>
      </w:r>
    </w:p>
    <w:p w14:paraId="4114B428">
      <w:pPr>
        <w:pStyle w:val="11"/>
        <w:numPr>
          <w:ilvl w:val="0"/>
          <w:numId w:val="0"/>
        </w:num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7.4质量保障</w:t>
      </w:r>
    </w:p>
    <w:p w14:paraId="504239BB">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7.4.1专业建设质量</w:t>
      </w:r>
    </w:p>
    <w:p w14:paraId="43495A9F">
      <w:pPr>
        <w:numPr>
          <w:ilvl w:val="0"/>
          <w:numId w:val="1"/>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专业结构调整，布局合理</w:t>
      </w:r>
    </w:p>
    <w:p w14:paraId="6041BC65">
      <w:pPr>
        <w:numPr>
          <w:ilvl w:val="0"/>
          <w:numId w:val="0"/>
        </w:num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学年学校优化专业结构，调整专业方向，计算机网络专业和计算机应用专业高度吻合，取消计算机网络专业，开设计算机应用、艺术设计与制作、电子商务、旅游服务与管理、机电技术应用、焊接技术应用、社会文化艺术、汽车运用与维修、音乐表演、舞蹈表演、无人机操作与维护等11个专业，形成了信息技术类、旅游服务类、机械制造类、教育类四大专业群，专业设置布局合理。</w:t>
      </w:r>
    </w:p>
    <w:p w14:paraId="1DDE8E22">
      <w:pPr>
        <w:numPr>
          <w:ilvl w:val="0"/>
          <w:numId w:val="1"/>
        </w:numPr>
        <w:bidi w:val="0"/>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以教促研，以赛促教</w:t>
      </w:r>
    </w:p>
    <w:p w14:paraId="413ABCF4">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学校鼓励教师积极省市教学能力大赛竞赛、技能大赛、撰写发表论文等教科研活动，提高了教师教学教研水平，促进了教师专业成长。</w:t>
      </w:r>
    </w:p>
    <w:p w14:paraId="08C1B58B">
      <w:pPr>
        <w:bidi w:val="0"/>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第二十七届全国教师信息素养提升实践活动中，学校教师李晓的微课《行走于虞坂古盐道》被评为中等职业教育组微课制作典型作品。</w:t>
      </w:r>
    </w:p>
    <w:p w14:paraId="212576F3">
      <w:pPr>
        <w:bidi w:val="0"/>
        <w:ind w:firstLine="640" w:firstLineChars="200"/>
        <w:rPr>
          <w:rStyle w:val="13"/>
          <w:rFonts w:hint="eastAsia" w:ascii="仿宋" w:hAnsi="仿宋" w:eastAsia="仿宋" w:cs="仿宋"/>
          <w:b w:val="0"/>
          <w:bCs/>
          <w:sz w:val="32"/>
          <w:szCs w:val="32"/>
          <w:lang w:eastAsia="zh-CN"/>
        </w:rPr>
      </w:pPr>
      <w:r>
        <w:rPr>
          <w:rFonts w:hint="eastAsia" w:ascii="仿宋" w:hAnsi="仿宋" w:eastAsia="仿宋" w:cs="仿宋"/>
          <w:sz w:val="32"/>
          <w:szCs w:val="32"/>
        </w:rPr>
        <w:t>山西省第十七届职业院校技能大赛教学能力比赛</w:t>
      </w:r>
      <w:r>
        <w:rPr>
          <w:rFonts w:hint="eastAsia" w:ascii="仿宋" w:hAnsi="仿宋" w:eastAsia="仿宋" w:cs="仿宋"/>
          <w:sz w:val="32"/>
          <w:szCs w:val="32"/>
          <w:lang w:eastAsia="zh-CN"/>
        </w:rPr>
        <w:t>中，荣获一等奖</w:t>
      </w:r>
      <w:r>
        <w:rPr>
          <w:rFonts w:hint="eastAsia" w:ascii="仿宋" w:hAnsi="仿宋" w:eastAsia="仿宋" w:cs="仿宋"/>
          <w:sz w:val="32"/>
          <w:szCs w:val="32"/>
          <w:lang w:val="en-US" w:eastAsia="zh-CN"/>
        </w:rPr>
        <w:t>1个，</w:t>
      </w:r>
      <w:r>
        <w:rPr>
          <w:rFonts w:hint="eastAsia" w:ascii="仿宋" w:hAnsi="仿宋" w:eastAsia="仿宋" w:cs="仿宋"/>
          <w:sz w:val="32"/>
          <w:szCs w:val="32"/>
        </w:rPr>
        <w:t>二等奖5个，三等奖10个</w:t>
      </w:r>
      <w:r>
        <w:rPr>
          <w:rFonts w:hint="eastAsia" w:ascii="仿宋" w:hAnsi="仿宋" w:eastAsia="仿宋" w:cs="仿宋"/>
          <w:sz w:val="32"/>
          <w:szCs w:val="32"/>
          <w:lang w:eastAsia="zh-CN"/>
        </w:rPr>
        <w:t>；</w:t>
      </w:r>
      <w:r>
        <w:rPr>
          <w:rStyle w:val="13"/>
          <w:rFonts w:hint="eastAsia" w:ascii="仿宋" w:hAnsi="仿宋" w:eastAsia="仿宋" w:cs="仿宋"/>
          <w:b w:val="0"/>
          <w:bCs/>
          <w:sz w:val="32"/>
          <w:szCs w:val="32"/>
          <w:lang w:eastAsia="zh-CN"/>
        </w:rPr>
        <w:t>山西省第十八届职业院校技能大赛中获得二等奖 6 个、三等奖 10 个。校语文组的 4 名教师获得省大赛三等奖。</w:t>
      </w:r>
    </w:p>
    <w:p w14:paraId="3BDBB40F">
      <w:pPr>
        <w:bidi w:val="0"/>
        <w:ind w:firstLine="640" w:firstLineChars="200"/>
        <w:rPr>
          <w:rFonts w:hint="eastAsia" w:ascii="仿宋" w:hAnsi="仿宋" w:eastAsia="仿宋" w:cs="仿宋"/>
          <w:sz w:val="32"/>
          <w:szCs w:val="32"/>
          <w:lang w:val="en-US" w:eastAsia="zh-CN"/>
        </w:rPr>
      </w:pPr>
      <w:r>
        <w:rPr>
          <w:rStyle w:val="13"/>
          <w:rFonts w:hint="eastAsia" w:ascii="仿宋" w:hAnsi="仿宋" w:eastAsia="仿宋" w:cs="仿宋"/>
          <w:b w:val="0"/>
          <w:bCs/>
          <w:sz w:val="32"/>
          <w:szCs w:val="32"/>
          <w:lang w:eastAsia="zh-CN"/>
        </w:rPr>
        <w:t>运城市第十三届职业院校技能大赛中</w:t>
      </w:r>
      <w:r>
        <w:rPr>
          <w:rStyle w:val="13"/>
          <w:rFonts w:hint="eastAsia" w:ascii="仿宋" w:hAnsi="仿宋" w:eastAsia="仿宋" w:cs="仿宋"/>
          <w:b w:val="0"/>
          <w:bCs/>
          <w:sz w:val="32"/>
          <w:szCs w:val="32"/>
          <w:lang w:val="en-US" w:eastAsia="zh-CN"/>
        </w:rPr>
        <w:t>荣</w:t>
      </w:r>
      <w:r>
        <w:rPr>
          <w:rStyle w:val="13"/>
          <w:rFonts w:hint="eastAsia" w:ascii="仿宋" w:hAnsi="仿宋" w:eastAsia="仿宋" w:cs="仿宋"/>
          <w:b w:val="0"/>
          <w:bCs/>
          <w:sz w:val="32"/>
          <w:szCs w:val="32"/>
          <w:lang w:eastAsia="zh-CN"/>
        </w:rPr>
        <w:t>获二等奖 3 个、三等奖 4 个、团体三等奖 2 个。</w:t>
      </w:r>
    </w:p>
    <w:p w14:paraId="309EB4A0">
      <w:pPr>
        <w:pStyle w:val="11"/>
        <w:numPr>
          <w:ilvl w:val="0"/>
          <w:numId w:val="0"/>
        </w:num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7.5经费投入</w:t>
      </w:r>
    </w:p>
    <w:p w14:paraId="44BD2742">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2023年度，学校各项开支严格按照有关财务规章制度规定，专款专用，对口开支，实行收支两条线。县政府和职能部门高度重视，不折不扣，确保免学费资金全部到位。对我校共拨免学费资金233.55</w:t>
      </w:r>
      <w:r>
        <w:rPr>
          <w:rFonts w:hint="eastAsia" w:ascii="仿宋" w:hAnsi="仿宋" w:eastAsia="仿宋" w:cs="仿宋"/>
          <w:color w:val="000000" w:themeColor="text1"/>
          <w:kern w:val="0"/>
          <w:sz w:val="32"/>
          <w:szCs w:val="32"/>
          <w14:textFill>
            <w14:solidFill>
              <w14:schemeClr w14:val="tx1"/>
            </w14:solidFill>
          </w14:textFill>
        </w:rPr>
        <w:t>万元</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其中中央</w:t>
      </w:r>
      <w:r>
        <w:rPr>
          <w:rFonts w:hint="eastAsia" w:ascii="仿宋" w:hAnsi="仿宋" w:eastAsia="仿宋" w:cs="仿宋"/>
          <w:color w:val="000000" w:themeColor="text1"/>
          <w:kern w:val="0"/>
          <w:sz w:val="32"/>
          <w:szCs w:val="32"/>
          <w:lang w:eastAsia="zh-CN"/>
          <w14:textFill>
            <w14:solidFill>
              <w14:schemeClr w14:val="tx1"/>
            </w14:solidFill>
          </w14:textFill>
        </w:rPr>
        <w:t>及省拨付资金</w:t>
      </w:r>
      <w:r>
        <w:rPr>
          <w:rFonts w:hint="eastAsia" w:ascii="仿宋" w:hAnsi="仿宋" w:eastAsia="仿宋" w:cs="仿宋"/>
          <w:color w:val="000000" w:themeColor="text1"/>
          <w:kern w:val="0"/>
          <w:sz w:val="32"/>
          <w:szCs w:val="32"/>
          <w:lang w:val="en-US" w:eastAsia="zh-CN"/>
          <w14:textFill>
            <w14:solidFill>
              <w14:schemeClr w14:val="tx1"/>
            </w14:solidFill>
          </w14:textFill>
        </w:rPr>
        <w:t>191万</w:t>
      </w:r>
      <w:r>
        <w:rPr>
          <w:rFonts w:hint="eastAsia" w:ascii="仿宋" w:hAnsi="仿宋" w:eastAsia="仿宋" w:cs="仿宋"/>
          <w:color w:val="000000" w:themeColor="text1"/>
          <w:kern w:val="0"/>
          <w:sz w:val="32"/>
          <w:szCs w:val="32"/>
          <w14:textFill>
            <w14:solidFill>
              <w14:schemeClr w14:val="tx1"/>
            </w14:solidFill>
          </w14:textFill>
        </w:rPr>
        <w:t>元，县</w:t>
      </w:r>
      <w:r>
        <w:rPr>
          <w:rFonts w:hint="eastAsia" w:ascii="仿宋" w:hAnsi="仿宋" w:eastAsia="仿宋" w:cs="仿宋"/>
          <w:color w:val="000000" w:themeColor="text1"/>
          <w:kern w:val="0"/>
          <w:sz w:val="32"/>
          <w:szCs w:val="32"/>
          <w:lang w:eastAsia="zh-CN"/>
          <w14:textFill>
            <w14:solidFill>
              <w14:schemeClr w14:val="tx1"/>
            </w14:solidFill>
          </w14:textFill>
        </w:rPr>
        <w:t>配套资金</w:t>
      </w:r>
      <w:r>
        <w:rPr>
          <w:rFonts w:hint="eastAsia" w:ascii="仿宋" w:hAnsi="仿宋" w:eastAsia="仿宋" w:cs="仿宋"/>
          <w:color w:val="000000" w:themeColor="text1"/>
          <w:kern w:val="0"/>
          <w:sz w:val="32"/>
          <w:szCs w:val="32"/>
          <w:lang w:val="en-US" w:eastAsia="zh-CN"/>
          <w14:textFill>
            <w14:solidFill>
              <w14:schemeClr w14:val="tx1"/>
            </w14:solidFill>
          </w14:textFill>
        </w:rPr>
        <w:t>42.55</w:t>
      </w:r>
      <w:r>
        <w:rPr>
          <w:rFonts w:hint="eastAsia" w:ascii="仿宋" w:hAnsi="仿宋" w:eastAsia="仿宋" w:cs="仿宋"/>
          <w:color w:val="000000" w:themeColor="text1"/>
          <w:kern w:val="0"/>
          <w:sz w:val="32"/>
          <w:szCs w:val="32"/>
          <w14:textFill>
            <w14:solidFill>
              <w14:schemeClr w14:val="tx1"/>
            </w14:solidFill>
          </w14:textFill>
        </w:rPr>
        <w:t>万元</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2"/>
          <w:sz w:val="32"/>
          <w:szCs w:val="32"/>
          <w:lang w:val="en-US" w:eastAsia="zh-CN" w:bidi="ar-SA"/>
          <w14:textFill>
            <w14:solidFill>
              <w14:schemeClr w14:val="tx1"/>
            </w14:solidFill>
          </w14:textFill>
        </w:rPr>
        <w:t>学校严格按照中职学生生均财政拨款制度，完善各种经费管理制度，不断提高经费管理水平，避免不合理开支现象发生，保障了学校教育教学的正常运转；国家拨付质量提升资金100万元用于高水平实训基地建设。</w:t>
      </w:r>
    </w:p>
    <w:p w14:paraId="08216502">
      <w:pPr>
        <w:pStyle w:val="11"/>
        <w:numPr>
          <w:ilvl w:val="0"/>
          <w:numId w:val="0"/>
        </w:num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案例7-1</w:t>
      </w:r>
    </w:p>
    <w:p w14:paraId="56C20D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Theme="majorEastAsia" w:hAnsiTheme="majorEastAsia" w:eastAsiaTheme="majorEastAsia" w:cstheme="majorEastAsia"/>
          <w:i w:val="0"/>
          <w:caps w:val="0"/>
          <w:spacing w:val="8"/>
          <w:sz w:val="32"/>
          <w:szCs w:val="32"/>
        </w:rPr>
      </w:pPr>
      <w:r>
        <w:rPr>
          <w:rFonts w:hint="eastAsia" w:asciiTheme="majorEastAsia" w:hAnsiTheme="majorEastAsia" w:eastAsiaTheme="majorEastAsia" w:cstheme="majorEastAsia"/>
          <w:i w:val="0"/>
          <w:caps w:val="0"/>
          <w:spacing w:val="8"/>
          <w:sz w:val="32"/>
          <w:szCs w:val="32"/>
          <w:shd w:val="clear" w:fill="FFFFFF"/>
        </w:rPr>
        <w:t>我校组织召开2024年春学期学生资助安排会</w:t>
      </w:r>
    </w:p>
    <w:p w14:paraId="2E215624">
      <w:pPr>
        <w:pStyle w:val="11"/>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为全面落实各项学生资助政策，建立健全家庭经济困难学生资助工作体系，高质量做好学生资助工作，3月21日，我校召开2024年春学期学生资助安排会。校资助办、高一、二年级主任及各班主任参加会议。教务主任刘亚平主持。</w:t>
      </w:r>
    </w:p>
    <w:p w14:paraId="4829CA01">
      <w:pPr>
        <w:pStyle w:val="11"/>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会上，校资助办人员对2024年春学期学生资助工作具体填报内容和注意事项等进行详细讲解。</w:t>
      </w:r>
    </w:p>
    <w:p w14:paraId="59AAAABD">
      <w:pPr>
        <w:pStyle w:val="11"/>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校长周向阳在总结讲话中指出，资助工作事关学生切身利益、学校社会声誉和人才培养导向，必须夯实资助工作基础，切实提升资助育人成效。他要求，资助工作要坚持“公平、公正、公开”的原则，将资助工作做实做细；工作人员要严格遵守工作规范，严格执行评审要求，深入了解学生，急学生所急、解学生所困，将育人作为资助工作的出发点和落脚点，推动学生工作高质量发展。</w:t>
      </w:r>
    </w:p>
    <w:p w14:paraId="2EBD54DD">
      <w:pPr>
        <w:pStyle w:val="11"/>
        <w:numPr>
          <w:ilvl w:val="0"/>
          <w:numId w:val="0"/>
        </w:numP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8.面临挑战</w:t>
      </w:r>
    </w:p>
    <w:p w14:paraId="60A4472D">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firstLine="643" w:firstLineChars="200"/>
        <w:rPr>
          <w:rFonts w:hint="eastAsia" w:ascii="仿宋" w:hAnsi="仿宋" w:eastAsia="仿宋" w:cs="仿宋"/>
          <w:color w:val="auto"/>
          <w:kern w:val="2"/>
          <w:sz w:val="32"/>
          <w:szCs w:val="32"/>
        </w:rPr>
      </w:pPr>
      <w:r>
        <w:rPr>
          <w:rFonts w:hint="eastAsia" w:ascii="仿宋" w:hAnsi="仿宋" w:eastAsia="仿宋" w:cs="仿宋"/>
          <w:b/>
          <w:bCs/>
          <w:sz w:val="32"/>
          <w:szCs w:val="32"/>
          <w:lang w:val="en-US" w:eastAsia="zh-CN"/>
        </w:rPr>
        <w:t>教师队伍亟待补充。</w:t>
      </w:r>
      <w:r>
        <w:rPr>
          <w:rFonts w:hint="eastAsia" w:ascii="仿宋" w:hAnsi="仿宋" w:eastAsia="仿宋" w:cs="仿宋"/>
          <w:color w:val="auto"/>
          <w:kern w:val="2"/>
          <w:sz w:val="32"/>
          <w:szCs w:val="32"/>
        </w:rPr>
        <w:t>一是迫切需要专业对口的教师加入来带领提升专业教学的厚度和深度。二是职业教育导向的变化对文化课教师的数量和质量都提出了更高的要求。今年虽然通过县管校聘和大学生见习进行了补充，但这本身的短暂性和不稳定性使得文化课教师的配备问题不能得到根本解决。</w:t>
      </w:r>
    </w:p>
    <w:p w14:paraId="3A65EA09">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学生管理任务复杂艰巨。</w:t>
      </w:r>
      <w:r>
        <w:rPr>
          <w:rFonts w:hint="eastAsia" w:ascii="仿宋" w:hAnsi="仿宋" w:eastAsia="仿宋" w:cs="仿宋"/>
          <w:sz w:val="32"/>
          <w:szCs w:val="32"/>
        </w:rPr>
        <w:t>我们职业中学兜底招生，问题学生扎堆。</w:t>
      </w:r>
      <w:r>
        <w:rPr>
          <w:rFonts w:hint="eastAsia" w:ascii="仿宋" w:hAnsi="仿宋" w:eastAsia="仿宋" w:cs="仿宋"/>
          <w:color w:val="auto"/>
          <w:kern w:val="2"/>
          <w:sz w:val="32"/>
          <w:szCs w:val="32"/>
        </w:rPr>
        <w:t>“手拉手</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心暖心”师生结对帮扶活动已开展三年，但随着帮扶对象的调整，帮扶人的对接不是很紧密，影响了帮扶效果。</w:t>
      </w:r>
      <w:r>
        <w:rPr>
          <w:rFonts w:hint="eastAsia" w:ascii="仿宋" w:hAnsi="仿宋" w:eastAsia="仿宋" w:cs="仿宋"/>
          <w:sz w:val="32"/>
          <w:szCs w:val="32"/>
        </w:rPr>
        <w:t>据统计，我校30%多的学生来自留守、单亲、离异重组家庭，有的班级占比40%以上，部分学生周末和小长假一个人在家，无人监管。由于坚冰消融时不待、学校鞭长有不及，如何在最短的时间内帮助学生避免重复、减少减轻、最终杜绝问题的发生，对我们来说仍是一个严峻的考验和挑战。</w:t>
      </w:r>
    </w:p>
    <w:p w14:paraId="17ABB4B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val="0"/>
          <w:bCs w:val="0"/>
          <w:sz w:val="32"/>
          <w:szCs w:val="32"/>
          <w:u w:val="none"/>
          <w:lang w:val="en-US" w:eastAsia="zh-CN"/>
        </w:rPr>
      </w:pPr>
      <w:r>
        <w:rPr>
          <w:rFonts w:hint="eastAsia" w:ascii="仿宋" w:hAnsi="仿宋" w:eastAsia="仿宋" w:cs="仿宋"/>
          <w:b/>
          <w:bCs/>
          <w:sz w:val="32"/>
          <w:szCs w:val="32"/>
          <w:lang w:val="en-US" w:eastAsia="zh-CN"/>
        </w:rPr>
        <w:t>校企合作和产教融合有待加强。</w:t>
      </w:r>
      <w:r>
        <w:rPr>
          <w:rFonts w:hint="eastAsia" w:ascii="仿宋" w:hAnsi="仿宋" w:eastAsia="仿宋" w:cs="仿宋"/>
          <w:color w:val="auto"/>
          <w:kern w:val="2"/>
          <w:sz w:val="32"/>
          <w:szCs w:val="32"/>
          <w:lang w:val="en-US" w:eastAsia="zh-CN"/>
        </w:rPr>
        <w:t>与</w:t>
      </w:r>
      <w:r>
        <w:rPr>
          <w:rFonts w:hint="eastAsia" w:ascii="仿宋" w:hAnsi="仿宋" w:eastAsia="仿宋" w:cs="仿宋"/>
          <w:color w:val="auto"/>
          <w:kern w:val="2"/>
          <w:sz w:val="32"/>
          <w:szCs w:val="32"/>
        </w:rPr>
        <w:t>当地企业对接不够，</w:t>
      </w:r>
      <w:r>
        <w:rPr>
          <w:rFonts w:hint="eastAsia" w:ascii="仿宋" w:hAnsi="仿宋" w:eastAsia="仿宋" w:cs="仿宋"/>
          <w:sz w:val="32"/>
          <w:szCs w:val="32"/>
        </w:rPr>
        <w:t>校企合作的企业规模有限，合作关系还需进一步稳固，人才供给和我县产业企业发展及民生需求的匹配度有待增强。</w:t>
      </w:r>
    </w:p>
    <w:p w14:paraId="53E49010">
      <w:pPr>
        <w:bidi w:val="0"/>
        <w:ind w:firstLine="640" w:firstLineChars="200"/>
        <w:rPr>
          <w:rFonts w:hint="eastAsia" w:ascii="黑体" w:hAnsi="黑体" w:eastAsia="黑体" w:cs="黑体"/>
          <w:sz w:val="32"/>
          <w:szCs w:val="32"/>
          <w:lang w:val="en-US" w:eastAsia="zh-CN"/>
        </w:rPr>
      </w:pPr>
    </w:p>
    <w:p w14:paraId="4111C400">
      <w:pPr>
        <w:pStyle w:val="11"/>
        <w:rPr>
          <w:rFonts w:hint="eastAsia"/>
          <w:lang w:val="en-US" w:eastAsia="zh-CN"/>
        </w:rPr>
      </w:pPr>
    </w:p>
    <w:p w14:paraId="70FD9530">
      <w:pPr>
        <w:pStyle w:val="11"/>
        <w:rPr>
          <w:rFonts w:hint="eastAsia"/>
          <w:lang w:val="en-US" w:eastAsia="zh-CN"/>
        </w:rPr>
      </w:pPr>
    </w:p>
    <w:p w14:paraId="061B7567">
      <w:pPr>
        <w:pStyle w:val="11"/>
        <w:rPr>
          <w:rFonts w:hint="eastAsia"/>
          <w:lang w:val="en-US" w:eastAsia="zh-CN"/>
        </w:rPr>
      </w:pPr>
    </w:p>
    <w:p w14:paraId="2D3C50EA">
      <w:pPr>
        <w:pStyle w:val="11"/>
        <w:ind w:left="0" w:leftChars="0" w:firstLine="0" w:firstLineChars="0"/>
        <w:rPr>
          <w:rFonts w:hint="eastAsia"/>
          <w:lang w:val="en-US" w:eastAsia="zh-CN"/>
        </w:rPr>
      </w:pPr>
    </w:p>
    <w:p w14:paraId="25A94540">
      <w:pPr>
        <w:bidi w:val="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表1：</w:t>
      </w:r>
      <w:r>
        <w:rPr>
          <w:rFonts w:hint="eastAsia" w:ascii="仿宋" w:hAnsi="仿宋" w:eastAsia="仿宋" w:cs="仿宋"/>
          <w:sz w:val="32"/>
          <w:szCs w:val="32"/>
          <w:lang w:val="en-US" w:eastAsia="zh-CN"/>
        </w:rPr>
        <w:t>人才培养质量积分卡</w:t>
      </w:r>
    </w:p>
    <w:p w14:paraId="68E1C062">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4310" cy="3992880"/>
            <wp:effectExtent l="0" t="0" r="2540" b="7620"/>
            <wp:docPr id="28" name="图片 28" descr="表1 人才培养质量计分卡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表1 人才培养质量计分卡_new"/>
                    <pic:cNvPicPr>
                      <a:picLocks noChangeAspect="1"/>
                    </pic:cNvPicPr>
                  </pic:nvPicPr>
                  <pic:blipFill>
                    <a:blip r:embed="rId12"/>
                    <a:stretch>
                      <a:fillRect/>
                    </a:stretch>
                  </pic:blipFill>
                  <pic:spPr>
                    <a:xfrm>
                      <a:off x="0" y="0"/>
                      <a:ext cx="5274310" cy="3992880"/>
                    </a:xfrm>
                    <a:prstGeom prst="rect">
                      <a:avLst/>
                    </a:prstGeom>
                  </pic:spPr>
                </pic:pic>
              </a:graphicData>
            </a:graphic>
          </wp:inline>
        </w:drawing>
      </w:r>
    </w:p>
    <w:p w14:paraId="1AD51741">
      <w:pPr>
        <w:bidi w:val="0"/>
        <w:jc w:val="left"/>
        <w:rPr>
          <w:rFonts w:hint="eastAsia" w:ascii="黑体" w:hAnsi="黑体" w:eastAsia="黑体" w:cs="黑体"/>
          <w:sz w:val="32"/>
          <w:szCs w:val="32"/>
          <w:lang w:val="en-US" w:eastAsia="zh-CN"/>
        </w:rPr>
      </w:pPr>
    </w:p>
    <w:p w14:paraId="46542950">
      <w:pPr>
        <w:bidi w:val="0"/>
        <w:jc w:val="left"/>
        <w:rPr>
          <w:rFonts w:hint="eastAsia" w:ascii="黑体" w:hAnsi="黑体" w:eastAsia="黑体" w:cs="黑体"/>
          <w:sz w:val="32"/>
          <w:szCs w:val="32"/>
          <w:lang w:val="en-US" w:eastAsia="zh-CN"/>
        </w:rPr>
      </w:pPr>
    </w:p>
    <w:p w14:paraId="3D078A5C">
      <w:pPr>
        <w:bidi w:val="0"/>
        <w:jc w:val="left"/>
        <w:rPr>
          <w:rFonts w:hint="eastAsia" w:ascii="黑体" w:hAnsi="黑体" w:eastAsia="黑体" w:cs="黑体"/>
          <w:sz w:val="32"/>
          <w:szCs w:val="32"/>
          <w:lang w:val="en-US" w:eastAsia="zh-CN"/>
        </w:rPr>
      </w:pPr>
    </w:p>
    <w:p w14:paraId="3315EB3F">
      <w:pPr>
        <w:bidi w:val="0"/>
        <w:jc w:val="left"/>
        <w:rPr>
          <w:rFonts w:hint="eastAsia" w:ascii="黑体" w:hAnsi="黑体" w:eastAsia="黑体" w:cs="黑体"/>
          <w:sz w:val="32"/>
          <w:szCs w:val="32"/>
          <w:lang w:val="en-US" w:eastAsia="zh-CN"/>
        </w:rPr>
      </w:pPr>
    </w:p>
    <w:p w14:paraId="295FCAE4">
      <w:pPr>
        <w:bidi w:val="0"/>
        <w:jc w:val="left"/>
        <w:rPr>
          <w:rFonts w:hint="eastAsia" w:ascii="黑体" w:hAnsi="黑体" w:eastAsia="黑体" w:cs="黑体"/>
          <w:sz w:val="32"/>
          <w:szCs w:val="32"/>
          <w:lang w:val="en-US" w:eastAsia="zh-CN"/>
        </w:rPr>
      </w:pPr>
    </w:p>
    <w:p w14:paraId="7D6F5DFD">
      <w:pPr>
        <w:bidi w:val="0"/>
        <w:jc w:val="left"/>
        <w:rPr>
          <w:rFonts w:hint="eastAsia" w:ascii="黑体" w:hAnsi="黑体" w:eastAsia="黑体" w:cs="黑体"/>
          <w:sz w:val="32"/>
          <w:szCs w:val="32"/>
          <w:lang w:val="en-US" w:eastAsia="zh-CN"/>
        </w:rPr>
      </w:pPr>
    </w:p>
    <w:p w14:paraId="16ACF839">
      <w:pPr>
        <w:bidi w:val="0"/>
        <w:jc w:val="left"/>
        <w:rPr>
          <w:rFonts w:hint="eastAsia" w:ascii="黑体" w:hAnsi="黑体" w:eastAsia="黑体" w:cs="黑体"/>
          <w:sz w:val="32"/>
          <w:szCs w:val="32"/>
          <w:lang w:val="en-US" w:eastAsia="zh-CN"/>
        </w:rPr>
      </w:pPr>
    </w:p>
    <w:p w14:paraId="206BC5CD">
      <w:pPr>
        <w:bidi w:val="0"/>
        <w:jc w:val="left"/>
        <w:rPr>
          <w:rFonts w:hint="eastAsia" w:ascii="黑体" w:hAnsi="黑体" w:eastAsia="黑体" w:cs="黑体"/>
          <w:sz w:val="32"/>
          <w:szCs w:val="32"/>
          <w:lang w:val="en-US" w:eastAsia="zh-CN"/>
        </w:rPr>
      </w:pPr>
    </w:p>
    <w:p w14:paraId="309538AE">
      <w:pPr>
        <w:bidi w:val="0"/>
        <w:jc w:val="left"/>
        <w:rPr>
          <w:rFonts w:hint="eastAsia" w:ascii="黑体" w:hAnsi="黑体" w:eastAsia="黑体" w:cs="黑体"/>
          <w:sz w:val="32"/>
          <w:szCs w:val="32"/>
          <w:lang w:val="en-US" w:eastAsia="zh-CN"/>
        </w:rPr>
      </w:pPr>
    </w:p>
    <w:p w14:paraId="7ABC9430">
      <w:pPr>
        <w:bidi w:val="0"/>
        <w:jc w:val="left"/>
        <w:rPr>
          <w:rFonts w:hint="eastAsia" w:ascii="黑体" w:hAnsi="黑体" w:eastAsia="黑体" w:cs="黑体"/>
          <w:sz w:val="32"/>
          <w:szCs w:val="32"/>
          <w:lang w:val="en-US" w:eastAsia="zh-CN"/>
        </w:rPr>
      </w:pPr>
    </w:p>
    <w:p w14:paraId="1E8B7F09">
      <w:pPr>
        <w:bidi w:val="0"/>
        <w:jc w:val="left"/>
        <w:rPr>
          <w:rFonts w:hint="eastAsia" w:ascii="黑体" w:hAnsi="黑体" w:eastAsia="黑体" w:cs="黑体"/>
          <w:sz w:val="32"/>
          <w:szCs w:val="32"/>
          <w:lang w:val="en-US" w:eastAsia="zh-CN"/>
        </w:rPr>
      </w:pPr>
    </w:p>
    <w:p w14:paraId="1364733B">
      <w:pPr>
        <w:bidi w:val="0"/>
        <w:jc w:val="left"/>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表2：</w:t>
      </w:r>
      <w:r>
        <w:rPr>
          <w:rFonts w:hint="eastAsia" w:ascii="仿宋" w:hAnsi="仿宋" w:eastAsia="仿宋" w:cs="仿宋"/>
          <w:sz w:val="32"/>
          <w:szCs w:val="32"/>
          <w:lang w:val="en-US" w:eastAsia="zh-CN"/>
        </w:rPr>
        <w:t>满意度调查表</w:t>
      </w:r>
    </w:p>
    <w:p w14:paraId="54A76B1F">
      <w:pPr>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3040" cy="4877435"/>
            <wp:effectExtent l="0" t="0" r="3810" b="18415"/>
            <wp:docPr id="22" name="图片 22" descr="表2 满意度调查表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表2 满意度调查表_new"/>
                    <pic:cNvPicPr>
                      <a:picLocks noChangeAspect="1"/>
                    </pic:cNvPicPr>
                  </pic:nvPicPr>
                  <pic:blipFill>
                    <a:blip r:embed="rId13"/>
                    <a:stretch>
                      <a:fillRect/>
                    </a:stretch>
                  </pic:blipFill>
                  <pic:spPr>
                    <a:xfrm>
                      <a:off x="0" y="0"/>
                      <a:ext cx="5273040" cy="4877435"/>
                    </a:xfrm>
                    <a:prstGeom prst="rect">
                      <a:avLst/>
                    </a:prstGeom>
                  </pic:spPr>
                </pic:pic>
              </a:graphicData>
            </a:graphic>
          </wp:inline>
        </w:drawing>
      </w:r>
    </w:p>
    <w:p w14:paraId="3FACFA71">
      <w:pPr>
        <w:bidi w:val="0"/>
        <w:jc w:val="left"/>
        <w:rPr>
          <w:rFonts w:hint="eastAsia" w:ascii="黑体" w:hAnsi="黑体" w:eastAsia="黑体" w:cs="黑体"/>
          <w:sz w:val="32"/>
          <w:szCs w:val="32"/>
          <w:lang w:val="en-US" w:eastAsia="zh-CN"/>
        </w:rPr>
      </w:pPr>
    </w:p>
    <w:p w14:paraId="3979DB84">
      <w:pPr>
        <w:bidi w:val="0"/>
        <w:jc w:val="left"/>
        <w:rPr>
          <w:rFonts w:hint="eastAsia" w:ascii="黑体" w:hAnsi="黑体" w:eastAsia="黑体" w:cs="黑体"/>
          <w:sz w:val="32"/>
          <w:szCs w:val="32"/>
          <w:lang w:val="en-US" w:eastAsia="zh-CN"/>
        </w:rPr>
      </w:pPr>
    </w:p>
    <w:p w14:paraId="1E98CE4D">
      <w:pPr>
        <w:bidi w:val="0"/>
        <w:jc w:val="left"/>
        <w:rPr>
          <w:rFonts w:hint="eastAsia" w:ascii="黑体" w:hAnsi="黑体" w:eastAsia="黑体" w:cs="黑体"/>
          <w:sz w:val="32"/>
          <w:szCs w:val="32"/>
          <w:lang w:val="en-US" w:eastAsia="zh-CN"/>
        </w:rPr>
      </w:pPr>
    </w:p>
    <w:p w14:paraId="6915E401">
      <w:pPr>
        <w:bidi w:val="0"/>
        <w:jc w:val="left"/>
        <w:rPr>
          <w:rFonts w:hint="eastAsia" w:ascii="黑体" w:hAnsi="黑体" w:eastAsia="黑体" w:cs="黑体"/>
          <w:sz w:val="32"/>
          <w:szCs w:val="32"/>
          <w:lang w:val="en-US" w:eastAsia="zh-CN"/>
        </w:rPr>
      </w:pPr>
    </w:p>
    <w:p w14:paraId="414DA4AC">
      <w:pPr>
        <w:bidi w:val="0"/>
        <w:jc w:val="left"/>
        <w:rPr>
          <w:rFonts w:hint="eastAsia" w:ascii="黑体" w:hAnsi="黑体" w:eastAsia="黑体" w:cs="黑体"/>
          <w:sz w:val="32"/>
          <w:szCs w:val="32"/>
          <w:lang w:val="en-US" w:eastAsia="zh-CN"/>
        </w:rPr>
      </w:pPr>
    </w:p>
    <w:p w14:paraId="217632B2">
      <w:pPr>
        <w:bidi w:val="0"/>
        <w:jc w:val="left"/>
        <w:rPr>
          <w:rFonts w:hint="eastAsia" w:ascii="黑体" w:hAnsi="黑体" w:eastAsia="黑体" w:cs="黑体"/>
          <w:sz w:val="32"/>
          <w:szCs w:val="32"/>
          <w:lang w:val="en-US" w:eastAsia="zh-CN"/>
        </w:rPr>
      </w:pPr>
    </w:p>
    <w:p w14:paraId="0519E3E2">
      <w:pPr>
        <w:bidi w:val="0"/>
        <w:jc w:val="left"/>
        <w:rPr>
          <w:rFonts w:hint="eastAsia" w:ascii="黑体" w:hAnsi="黑体" w:eastAsia="黑体" w:cs="黑体"/>
          <w:sz w:val="32"/>
          <w:szCs w:val="32"/>
          <w:lang w:val="en-US" w:eastAsia="zh-CN"/>
        </w:rPr>
      </w:pPr>
    </w:p>
    <w:p w14:paraId="1DF7CEFD">
      <w:pPr>
        <w:bidi w:val="0"/>
        <w:jc w:val="left"/>
        <w:rPr>
          <w:rFonts w:hint="eastAsia" w:ascii="黑体" w:hAnsi="黑体" w:eastAsia="黑体" w:cs="黑体"/>
          <w:sz w:val="32"/>
          <w:szCs w:val="32"/>
          <w:lang w:val="en-US" w:eastAsia="zh-CN"/>
        </w:rPr>
      </w:pPr>
    </w:p>
    <w:p w14:paraId="3CB6126C">
      <w:pPr>
        <w:bidi w:val="0"/>
        <w:jc w:val="left"/>
        <w:rPr>
          <w:rFonts w:hint="eastAsia" w:ascii="黑体" w:hAnsi="黑体" w:eastAsia="黑体" w:cs="黑体"/>
          <w:sz w:val="32"/>
          <w:szCs w:val="32"/>
          <w:lang w:val="en-US" w:eastAsia="zh-CN"/>
        </w:rPr>
      </w:pPr>
    </w:p>
    <w:p w14:paraId="35812BBA">
      <w:pPr>
        <w:bidi w:val="0"/>
        <w:jc w:val="left"/>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表3：</w:t>
      </w:r>
      <w:r>
        <w:rPr>
          <w:rFonts w:hint="eastAsia" w:ascii="仿宋" w:hAnsi="仿宋" w:eastAsia="仿宋" w:cs="仿宋"/>
          <w:sz w:val="32"/>
          <w:szCs w:val="32"/>
          <w:lang w:val="en-US" w:eastAsia="zh-CN"/>
        </w:rPr>
        <w:t>教学资源表</w:t>
      </w:r>
    </w:p>
    <w:p w14:paraId="40C64F55">
      <w:pPr>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88915" cy="8310245"/>
            <wp:effectExtent l="0" t="0" r="6985" b="14605"/>
            <wp:docPr id="24" name="图片 24" descr="表3 教学资源表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表3 教学资源表_new"/>
                    <pic:cNvPicPr>
                      <a:picLocks noChangeAspect="1"/>
                    </pic:cNvPicPr>
                  </pic:nvPicPr>
                  <pic:blipFill>
                    <a:blip r:embed="rId14"/>
                    <a:stretch>
                      <a:fillRect/>
                    </a:stretch>
                  </pic:blipFill>
                  <pic:spPr>
                    <a:xfrm>
                      <a:off x="0" y="0"/>
                      <a:ext cx="5288915" cy="8310245"/>
                    </a:xfrm>
                    <a:prstGeom prst="rect">
                      <a:avLst/>
                    </a:prstGeom>
                  </pic:spPr>
                </pic:pic>
              </a:graphicData>
            </a:graphic>
          </wp:inline>
        </w:drawing>
      </w:r>
    </w:p>
    <w:p w14:paraId="70229B47">
      <w:pPr>
        <w:bidi w:val="0"/>
        <w:jc w:val="left"/>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表4：</w:t>
      </w:r>
      <w:r>
        <w:rPr>
          <w:rFonts w:hint="eastAsia" w:ascii="仿宋" w:hAnsi="仿宋" w:eastAsia="仿宋" w:cs="仿宋"/>
          <w:sz w:val="32"/>
          <w:szCs w:val="32"/>
          <w:lang w:val="en-US" w:eastAsia="zh-CN"/>
        </w:rPr>
        <w:t>国际影响表</w:t>
      </w:r>
    </w:p>
    <w:p w14:paraId="1FF93D50">
      <w:pPr>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4310" cy="5650865"/>
            <wp:effectExtent l="0" t="0" r="2540" b="6985"/>
            <wp:docPr id="25" name="图片 25" descr="表4 服务贡献表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表4 服务贡献表_new"/>
                    <pic:cNvPicPr>
                      <a:picLocks noChangeAspect="1"/>
                    </pic:cNvPicPr>
                  </pic:nvPicPr>
                  <pic:blipFill>
                    <a:blip r:embed="rId15"/>
                    <a:stretch>
                      <a:fillRect/>
                    </a:stretch>
                  </pic:blipFill>
                  <pic:spPr>
                    <a:xfrm>
                      <a:off x="0" y="0"/>
                      <a:ext cx="5274310" cy="5650865"/>
                    </a:xfrm>
                    <a:prstGeom prst="rect">
                      <a:avLst/>
                    </a:prstGeom>
                  </pic:spPr>
                </pic:pic>
              </a:graphicData>
            </a:graphic>
          </wp:inline>
        </w:drawing>
      </w:r>
    </w:p>
    <w:p w14:paraId="22A00131">
      <w:pPr>
        <w:bidi w:val="0"/>
        <w:jc w:val="left"/>
        <w:rPr>
          <w:rFonts w:hint="eastAsia" w:ascii="黑体" w:hAnsi="黑体" w:eastAsia="黑体" w:cs="黑体"/>
          <w:sz w:val="32"/>
          <w:szCs w:val="32"/>
          <w:lang w:val="en-US" w:eastAsia="zh-CN"/>
        </w:rPr>
      </w:pPr>
    </w:p>
    <w:p w14:paraId="77A6C2C8">
      <w:pPr>
        <w:bidi w:val="0"/>
        <w:jc w:val="left"/>
        <w:rPr>
          <w:rFonts w:hint="eastAsia" w:ascii="黑体" w:hAnsi="黑体" w:eastAsia="黑体" w:cs="黑体"/>
          <w:sz w:val="32"/>
          <w:szCs w:val="32"/>
          <w:lang w:val="en-US" w:eastAsia="zh-CN"/>
        </w:rPr>
      </w:pPr>
    </w:p>
    <w:p w14:paraId="16B55C6E">
      <w:pPr>
        <w:bidi w:val="0"/>
        <w:jc w:val="left"/>
        <w:rPr>
          <w:rFonts w:hint="eastAsia" w:ascii="黑体" w:hAnsi="黑体" w:eastAsia="黑体" w:cs="黑体"/>
          <w:sz w:val="32"/>
          <w:szCs w:val="32"/>
          <w:lang w:val="en-US" w:eastAsia="zh-CN"/>
        </w:rPr>
      </w:pPr>
    </w:p>
    <w:p w14:paraId="24ABE056">
      <w:pPr>
        <w:bidi w:val="0"/>
        <w:jc w:val="left"/>
        <w:rPr>
          <w:rFonts w:hint="eastAsia" w:ascii="黑体" w:hAnsi="黑体" w:eastAsia="黑体" w:cs="黑体"/>
          <w:sz w:val="32"/>
          <w:szCs w:val="32"/>
          <w:lang w:val="en-US" w:eastAsia="zh-CN"/>
        </w:rPr>
      </w:pPr>
    </w:p>
    <w:p w14:paraId="34038C19">
      <w:pPr>
        <w:bidi w:val="0"/>
        <w:jc w:val="left"/>
        <w:rPr>
          <w:rFonts w:hint="eastAsia" w:ascii="黑体" w:hAnsi="黑体" w:eastAsia="黑体" w:cs="黑体"/>
          <w:sz w:val="32"/>
          <w:szCs w:val="32"/>
          <w:lang w:val="en-US" w:eastAsia="zh-CN"/>
        </w:rPr>
      </w:pPr>
    </w:p>
    <w:p w14:paraId="298E8D5B">
      <w:pPr>
        <w:bidi w:val="0"/>
        <w:jc w:val="left"/>
        <w:rPr>
          <w:rFonts w:hint="eastAsia" w:ascii="黑体" w:hAnsi="黑体" w:eastAsia="黑体" w:cs="黑体"/>
          <w:sz w:val="32"/>
          <w:szCs w:val="32"/>
          <w:lang w:val="en-US" w:eastAsia="zh-CN"/>
        </w:rPr>
      </w:pPr>
    </w:p>
    <w:p w14:paraId="64F82C70">
      <w:pPr>
        <w:bidi w:val="0"/>
        <w:jc w:val="left"/>
        <w:rPr>
          <w:rFonts w:hint="eastAsia" w:ascii="黑体" w:hAnsi="黑体" w:eastAsia="黑体" w:cs="黑体"/>
          <w:sz w:val="32"/>
          <w:szCs w:val="32"/>
          <w:lang w:val="en-US" w:eastAsia="zh-CN"/>
        </w:rPr>
      </w:pPr>
    </w:p>
    <w:p w14:paraId="2C89D555">
      <w:pPr>
        <w:bidi w:val="0"/>
        <w:jc w:val="left"/>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表5：</w:t>
      </w:r>
      <w:r>
        <w:rPr>
          <w:rFonts w:hint="eastAsia" w:ascii="仿宋" w:hAnsi="仿宋" w:eastAsia="仿宋" w:cs="仿宋"/>
          <w:sz w:val="32"/>
          <w:szCs w:val="32"/>
          <w:lang w:val="en-US" w:eastAsia="zh-CN"/>
        </w:rPr>
        <w:t>服务贡献表</w:t>
      </w:r>
    </w:p>
    <w:p w14:paraId="55A48BAB">
      <w:pPr>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4310" cy="5274310"/>
            <wp:effectExtent l="0" t="0" r="2540" b="2540"/>
            <wp:docPr id="26" name="图片 26" descr="表5 国际影响表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表5 国际影响表_new"/>
                    <pic:cNvPicPr>
                      <a:picLocks noChangeAspect="1"/>
                    </pic:cNvPicPr>
                  </pic:nvPicPr>
                  <pic:blipFill>
                    <a:blip r:embed="rId16"/>
                    <a:stretch>
                      <a:fillRect/>
                    </a:stretch>
                  </pic:blipFill>
                  <pic:spPr>
                    <a:xfrm>
                      <a:off x="0" y="0"/>
                      <a:ext cx="5274310" cy="5274310"/>
                    </a:xfrm>
                    <a:prstGeom prst="rect">
                      <a:avLst/>
                    </a:prstGeom>
                  </pic:spPr>
                </pic:pic>
              </a:graphicData>
            </a:graphic>
          </wp:inline>
        </w:drawing>
      </w:r>
    </w:p>
    <w:p w14:paraId="386904D1">
      <w:pPr>
        <w:bidi w:val="0"/>
        <w:jc w:val="left"/>
        <w:rPr>
          <w:rFonts w:hint="eastAsia" w:ascii="黑体" w:hAnsi="黑体" w:eastAsia="黑体" w:cs="黑体"/>
          <w:sz w:val="32"/>
          <w:szCs w:val="32"/>
          <w:lang w:val="en-US" w:eastAsia="zh-CN"/>
        </w:rPr>
      </w:pPr>
    </w:p>
    <w:p w14:paraId="4181C517">
      <w:pPr>
        <w:bidi w:val="0"/>
        <w:jc w:val="left"/>
        <w:rPr>
          <w:rFonts w:hint="eastAsia" w:ascii="黑体" w:hAnsi="黑体" w:eastAsia="黑体" w:cs="黑体"/>
          <w:sz w:val="32"/>
          <w:szCs w:val="32"/>
          <w:lang w:val="en-US" w:eastAsia="zh-CN"/>
        </w:rPr>
      </w:pPr>
    </w:p>
    <w:p w14:paraId="7BD126AC">
      <w:pPr>
        <w:bidi w:val="0"/>
        <w:jc w:val="left"/>
        <w:rPr>
          <w:rFonts w:hint="eastAsia" w:ascii="黑体" w:hAnsi="黑体" w:eastAsia="黑体" w:cs="黑体"/>
          <w:sz w:val="32"/>
          <w:szCs w:val="32"/>
          <w:lang w:val="en-US" w:eastAsia="zh-CN"/>
        </w:rPr>
      </w:pPr>
    </w:p>
    <w:p w14:paraId="40240179">
      <w:pPr>
        <w:bidi w:val="0"/>
        <w:jc w:val="left"/>
        <w:rPr>
          <w:rFonts w:hint="eastAsia" w:ascii="黑体" w:hAnsi="黑体" w:eastAsia="黑体" w:cs="黑体"/>
          <w:sz w:val="32"/>
          <w:szCs w:val="32"/>
          <w:lang w:val="en-US" w:eastAsia="zh-CN"/>
        </w:rPr>
      </w:pPr>
    </w:p>
    <w:p w14:paraId="474C1B7D">
      <w:pPr>
        <w:bidi w:val="0"/>
        <w:jc w:val="left"/>
        <w:rPr>
          <w:rFonts w:hint="eastAsia" w:ascii="黑体" w:hAnsi="黑体" w:eastAsia="黑体" w:cs="黑体"/>
          <w:sz w:val="32"/>
          <w:szCs w:val="32"/>
          <w:lang w:val="en-US" w:eastAsia="zh-CN"/>
        </w:rPr>
      </w:pPr>
    </w:p>
    <w:p w14:paraId="3A26D1F2">
      <w:pPr>
        <w:bidi w:val="0"/>
        <w:jc w:val="left"/>
        <w:rPr>
          <w:rFonts w:hint="eastAsia" w:ascii="黑体" w:hAnsi="黑体" w:eastAsia="黑体" w:cs="黑体"/>
          <w:sz w:val="32"/>
          <w:szCs w:val="32"/>
          <w:lang w:val="en-US" w:eastAsia="zh-CN"/>
        </w:rPr>
      </w:pPr>
    </w:p>
    <w:p w14:paraId="2CBC06BA">
      <w:pPr>
        <w:bidi w:val="0"/>
        <w:jc w:val="left"/>
        <w:rPr>
          <w:rFonts w:hint="eastAsia" w:ascii="黑体" w:hAnsi="黑体" w:eastAsia="黑体" w:cs="黑体"/>
          <w:sz w:val="32"/>
          <w:szCs w:val="32"/>
          <w:lang w:val="en-US" w:eastAsia="zh-CN"/>
        </w:rPr>
      </w:pPr>
    </w:p>
    <w:p w14:paraId="5C48F16E">
      <w:pPr>
        <w:bidi w:val="0"/>
        <w:jc w:val="left"/>
        <w:rPr>
          <w:rFonts w:hint="eastAsia" w:ascii="黑体" w:hAnsi="黑体" w:eastAsia="黑体" w:cs="黑体"/>
          <w:sz w:val="32"/>
          <w:szCs w:val="32"/>
          <w:lang w:val="en-US" w:eastAsia="zh-CN"/>
        </w:rPr>
      </w:pPr>
    </w:p>
    <w:p w14:paraId="1D3FD465">
      <w:pPr>
        <w:bidi w:val="0"/>
        <w:jc w:val="left"/>
        <w:rPr>
          <w:rFonts w:hint="default" w:ascii="宋体" w:hAnsi="宋体" w:eastAsia="宋体" w:cs="宋体"/>
          <w:sz w:val="32"/>
          <w:szCs w:val="32"/>
          <w:lang w:val="en-US" w:eastAsia="zh-CN"/>
        </w:rPr>
      </w:pPr>
      <w:r>
        <w:rPr>
          <w:rFonts w:hint="eastAsia" w:ascii="黑体" w:hAnsi="黑体" w:eastAsia="黑体" w:cs="黑体"/>
          <w:sz w:val="32"/>
          <w:szCs w:val="32"/>
          <w:lang w:val="en-US" w:eastAsia="zh-CN"/>
        </w:rPr>
        <w:t>表6：</w:t>
      </w:r>
      <w:r>
        <w:rPr>
          <w:rFonts w:hint="eastAsia" w:ascii="仿宋" w:hAnsi="仿宋" w:eastAsia="仿宋" w:cs="仿宋"/>
          <w:sz w:val="32"/>
          <w:szCs w:val="32"/>
          <w:lang w:val="en-US" w:eastAsia="zh-CN"/>
        </w:rPr>
        <w:t>落实政策表</w:t>
      </w:r>
    </w:p>
    <w:p w14:paraId="04698C2D">
      <w:pPr>
        <w:pStyle w:val="11"/>
        <w:numPr>
          <w:ilvl w:val="0"/>
          <w:numId w:val="0"/>
        </w:numPr>
        <w:rPr>
          <w:rFonts w:hint="default" w:asciiTheme="minorEastAsia" w:hAnsiTheme="minorEastAsia" w:cstheme="minorEastAsia"/>
          <w:sz w:val="32"/>
          <w:szCs w:val="32"/>
          <w:lang w:val="en-US" w:eastAsia="zh-CN"/>
        </w:rPr>
      </w:pPr>
      <w:r>
        <w:rPr>
          <w:rFonts w:hint="default" w:asciiTheme="minorEastAsia" w:hAnsiTheme="minorEastAsia" w:cstheme="minorEastAsia"/>
          <w:sz w:val="32"/>
          <w:szCs w:val="32"/>
          <w:lang w:val="en-US" w:eastAsia="zh-CN"/>
        </w:rPr>
        <w:drawing>
          <wp:inline distT="0" distB="0" distL="114300" distR="114300">
            <wp:extent cx="5272405" cy="4686300"/>
            <wp:effectExtent l="0" t="0" r="4445" b="0"/>
            <wp:docPr id="27" name="图片 27" descr="表6 落实政策表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表6 落实政策表_new"/>
                    <pic:cNvPicPr>
                      <a:picLocks noChangeAspect="1"/>
                    </pic:cNvPicPr>
                  </pic:nvPicPr>
                  <pic:blipFill>
                    <a:blip r:embed="rId17"/>
                    <a:stretch>
                      <a:fillRect/>
                    </a:stretch>
                  </pic:blipFill>
                  <pic:spPr>
                    <a:xfrm>
                      <a:off x="0" y="0"/>
                      <a:ext cx="5272405" cy="4686300"/>
                    </a:xfrm>
                    <a:prstGeom prst="rect">
                      <a:avLst/>
                    </a:prstGeom>
                  </pic:spPr>
                </pic:pic>
              </a:graphicData>
            </a:graphic>
          </wp:inline>
        </w:drawing>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C093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494E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E6494E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D20171"/>
    <w:multiLevelType w:val="singleLevel"/>
    <w:tmpl w:val="61D2017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mYTZjMjU4NmQ1NTRlZjBlNGNlZmRlM2UxZGRkYzAifQ=="/>
  </w:docVars>
  <w:rsids>
    <w:rsidRoot w:val="616A332E"/>
    <w:rsid w:val="018605C8"/>
    <w:rsid w:val="01BF7B17"/>
    <w:rsid w:val="01FD42EF"/>
    <w:rsid w:val="028C7856"/>
    <w:rsid w:val="03344257"/>
    <w:rsid w:val="039522BA"/>
    <w:rsid w:val="03D62861"/>
    <w:rsid w:val="03DB3612"/>
    <w:rsid w:val="05066010"/>
    <w:rsid w:val="059924E1"/>
    <w:rsid w:val="06E415DA"/>
    <w:rsid w:val="072126BE"/>
    <w:rsid w:val="0760236E"/>
    <w:rsid w:val="08403200"/>
    <w:rsid w:val="09A339CE"/>
    <w:rsid w:val="09D8620D"/>
    <w:rsid w:val="0A341F82"/>
    <w:rsid w:val="0A7D6C81"/>
    <w:rsid w:val="0BA13D85"/>
    <w:rsid w:val="0C495168"/>
    <w:rsid w:val="0C735F00"/>
    <w:rsid w:val="0CA03A08"/>
    <w:rsid w:val="0D87315D"/>
    <w:rsid w:val="0E760959"/>
    <w:rsid w:val="0FD056B6"/>
    <w:rsid w:val="10880457"/>
    <w:rsid w:val="10BF5108"/>
    <w:rsid w:val="110864A9"/>
    <w:rsid w:val="11C17E16"/>
    <w:rsid w:val="12D06EB6"/>
    <w:rsid w:val="13806B2E"/>
    <w:rsid w:val="139E52C6"/>
    <w:rsid w:val="159D54BD"/>
    <w:rsid w:val="1617490E"/>
    <w:rsid w:val="16DB4627"/>
    <w:rsid w:val="171646B2"/>
    <w:rsid w:val="17377630"/>
    <w:rsid w:val="175F00B4"/>
    <w:rsid w:val="192B4E46"/>
    <w:rsid w:val="19ED5937"/>
    <w:rsid w:val="1ADD457D"/>
    <w:rsid w:val="1C0D5EB9"/>
    <w:rsid w:val="1C393E7F"/>
    <w:rsid w:val="1D7C0366"/>
    <w:rsid w:val="1D992CC6"/>
    <w:rsid w:val="1E8219AC"/>
    <w:rsid w:val="1EF13D82"/>
    <w:rsid w:val="20583641"/>
    <w:rsid w:val="2106256C"/>
    <w:rsid w:val="210D73EA"/>
    <w:rsid w:val="21C347D2"/>
    <w:rsid w:val="22225E2A"/>
    <w:rsid w:val="23264FFC"/>
    <w:rsid w:val="23C1179B"/>
    <w:rsid w:val="248322AB"/>
    <w:rsid w:val="25DC5E46"/>
    <w:rsid w:val="27CC248E"/>
    <w:rsid w:val="29A528D8"/>
    <w:rsid w:val="29CC4850"/>
    <w:rsid w:val="2A1A5F98"/>
    <w:rsid w:val="2AE131E0"/>
    <w:rsid w:val="2B19771E"/>
    <w:rsid w:val="2BFD05D0"/>
    <w:rsid w:val="2CB72862"/>
    <w:rsid w:val="2D2D1C7B"/>
    <w:rsid w:val="2E022F43"/>
    <w:rsid w:val="305667F5"/>
    <w:rsid w:val="30AC13EC"/>
    <w:rsid w:val="30E07460"/>
    <w:rsid w:val="322919C6"/>
    <w:rsid w:val="3436680F"/>
    <w:rsid w:val="355E6877"/>
    <w:rsid w:val="356E2833"/>
    <w:rsid w:val="35917DCF"/>
    <w:rsid w:val="372431A9"/>
    <w:rsid w:val="382C1EF0"/>
    <w:rsid w:val="395A55A8"/>
    <w:rsid w:val="396F0677"/>
    <w:rsid w:val="39DC75B2"/>
    <w:rsid w:val="3B0A6B5A"/>
    <w:rsid w:val="3BA75986"/>
    <w:rsid w:val="3D2D5C26"/>
    <w:rsid w:val="3D6762DD"/>
    <w:rsid w:val="3DC1388C"/>
    <w:rsid w:val="3DE74F30"/>
    <w:rsid w:val="3DF919E6"/>
    <w:rsid w:val="3E362BC6"/>
    <w:rsid w:val="3EED76B7"/>
    <w:rsid w:val="3F984734"/>
    <w:rsid w:val="40A94917"/>
    <w:rsid w:val="40D05B99"/>
    <w:rsid w:val="412F06F1"/>
    <w:rsid w:val="41804A4C"/>
    <w:rsid w:val="433E058E"/>
    <w:rsid w:val="44C1768E"/>
    <w:rsid w:val="45183070"/>
    <w:rsid w:val="470F29F7"/>
    <w:rsid w:val="478A7058"/>
    <w:rsid w:val="47D77FC4"/>
    <w:rsid w:val="483F6182"/>
    <w:rsid w:val="49A53698"/>
    <w:rsid w:val="4A0E263C"/>
    <w:rsid w:val="4C005955"/>
    <w:rsid w:val="4C0132ED"/>
    <w:rsid w:val="4C057B41"/>
    <w:rsid w:val="4C136D33"/>
    <w:rsid w:val="4C6072A3"/>
    <w:rsid w:val="4D2F12B8"/>
    <w:rsid w:val="4D8E34DD"/>
    <w:rsid w:val="4D956757"/>
    <w:rsid w:val="4E051F2D"/>
    <w:rsid w:val="4E550778"/>
    <w:rsid w:val="4FCE44F1"/>
    <w:rsid w:val="4FDA5DB2"/>
    <w:rsid w:val="51767C0A"/>
    <w:rsid w:val="51D11D27"/>
    <w:rsid w:val="5205635C"/>
    <w:rsid w:val="52857A9C"/>
    <w:rsid w:val="5336008A"/>
    <w:rsid w:val="540C5017"/>
    <w:rsid w:val="551D59AF"/>
    <w:rsid w:val="55BA5A30"/>
    <w:rsid w:val="56A74FB3"/>
    <w:rsid w:val="59E44CEE"/>
    <w:rsid w:val="5ACA7989"/>
    <w:rsid w:val="5B4B66A7"/>
    <w:rsid w:val="5C7B77D2"/>
    <w:rsid w:val="5C7E6153"/>
    <w:rsid w:val="5D76684A"/>
    <w:rsid w:val="5E484256"/>
    <w:rsid w:val="5E5F4F45"/>
    <w:rsid w:val="5ECE7796"/>
    <w:rsid w:val="5F6E5059"/>
    <w:rsid w:val="5FCD45AC"/>
    <w:rsid w:val="5FF678B6"/>
    <w:rsid w:val="60977498"/>
    <w:rsid w:val="61013FF3"/>
    <w:rsid w:val="614E5143"/>
    <w:rsid w:val="616A332E"/>
    <w:rsid w:val="63424833"/>
    <w:rsid w:val="639D5F2B"/>
    <w:rsid w:val="64377008"/>
    <w:rsid w:val="6609788A"/>
    <w:rsid w:val="671D0A2D"/>
    <w:rsid w:val="692A021D"/>
    <w:rsid w:val="696E3496"/>
    <w:rsid w:val="6A3E31F6"/>
    <w:rsid w:val="6A590DE0"/>
    <w:rsid w:val="6B531F86"/>
    <w:rsid w:val="6C174081"/>
    <w:rsid w:val="6C4D701E"/>
    <w:rsid w:val="6C7C2B64"/>
    <w:rsid w:val="6D7C3E42"/>
    <w:rsid w:val="6DBB32D2"/>
    <w:rsid w:val="6EB10B89"/>
    <w:rsid w:val="70994D60"/>
    <w:rsid w:val="70A81610"/>
    <w:rsid w:val="70ED125D"/>
    <w:rsid w:val="712F4169"/>
    <w:rsid w:val="71680C77"/>
    <w:rsid w:val="71DC64B8"/>
    <w:rsid w:val="737D796F"/>
    <w:rsid w:val="73DC6C44"/>
    <w:rsid w:val="745346B3"/>
    <w:rsid w:val="751D2534"/>
    <w:rsid w:val="754F4BB0"/>
    <w:rsid w:val="75B336F4"/>
    <w:rsid w:val="75B570E6"/>
    <w:rsid w:val="76F23A37"/>
    <w:rsid w:val="772A140E"/>
    <w:rsid w:val="77E36919"/>
    <w:rsid w:val="78551958"/>
    <w:rsid w:val="78A31E94"/>
    <w:rsid w:val="78D52856"/>
    <w:rsid w:val="79144B51"/>
    <w:rsid w:val="79C67B14"/>
    <w:rsid w:val="7B046B46"/>
    <w:rsid w:val="7B1D299E"/>
    <w:rsid w:val="7B3F270B"/>
    <w:rsid w:val="7B7B4C82"/>
    <w:rsid w:val="7C9519D9"/>
    <w:rsid w:val="7CAF1416"/>
    <w:rsid w:val="7D000522"/>
    <w:rsid w:val="7D072D03"/>
    <w:rsid w:val="7D0A7D18"/>
    <w:rsid w:val="7E3F0F31"/>
    <w:rsid w:val="7F463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keepNext/>
      <w:keepLines/>
      <w:spacing w:before="340" w:after="33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BodyText1I2"/>
    <w:basedOn w:val="12"/>
    <w:qFormat/>
    <w:uiPriority w:val="0"/>
    <w:pPr>
      <w:ind w:firstLine="420"/>
    </w:pPr>
  </w:style>
  <w:style w:type="paragraph" w:customStyle="1" w:styleId="12">
    <w:name w:val="BodyTextIndent"/>
    <w:basedOn w:val="1"/>
    <w:qFormat/>
    <w:uiPriority w:val="0"/>
    <w:pPr>
      <w:spacing w:after="120"/>
      <w:ind w:left="420" w:leftChars="200" w:firstLine="960" w:firstLineChars="200"/>
      <w:textAlignment w:val="baseline"/>
    </w:pPr>
  </w:style>
  <w:style w:type="character" w:customStyle="1" w:styleId="13">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9366</Words>
  <Characters>9766</Characters>
  <Lines>0</Lines>
  <Paragraphs>0</Paragraphs>
  <TotalTime>10</TotalTime>
  <ScaleCrop>false</ScaleCrop>
  <LinksUpToDate>false</LinksUpToDate>
  <CharactersWithSpaces>9806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2023-12-11T02:15:00Z</dcterms:created>
  <dc:creator>Administrator</dc:creator>
  <cp:lastModifiedBy>Administrator</cp:lastModifiedBy>
  <cp:lastPrinted>2025-02-12T08:27:00Z</cp:lastPrinted>
  <dcterms:modified xsi:type="dcterms:W3CDTF">2025-02-13T09:51:11Z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DED503B9C57C4D4BAED071AEB57CA19E_13</vt:lpwstr>
  </property>
  <property fmtid="{D5CDD505-2E9C-101B-9397-08002B2CF9AE}" pid="4" name="KSOTemplateDocerSaveRecord">
    <vt:lpwstr>eyJoZGlkIjoiZGFkNzIxOWYzYjg2ZDE3ZmNhMjkxY2Q4ZWMwNmY3ZGYifQ==</vt:lpwstr>
  </property>
</Properties>
</file>