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4DAA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szCs w:val="44"/>
          <w:lang w:val="en-US" w:eastAsia="zh-CN"/>
        </w:rPr>
      </w:pPr>
    </w:p>
    <w:p w14:paraId="1B2691C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Cs w:val="44"/>
          <w:lang w:val="en-US" w:eastAsia="zh-CN"/>
        </w:rPr>
        <w:t>平陆县国土空间规划委员会办公室</w:t>
      </w:r>
    </w:p>
    <w:p w14:paraId="48CA995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Cs w:val="44"/>
          <w:lang w:val="en-US" w:eastAsia="zh-CN"/>
        </w:rPr>
        <w:t>关于《古虞国文化广场建设项目选址研究报告》和《平陆县黄平线（国道209至国道522）连接线改造工程节约集约用地论证分析专章》的</w:t>
      </w:r>
    </w:p>
    <w:p w14:paraId="5F3CC3F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Cs w:val="44"/>
          <w:lang w:val="en-US" w:eastAsia="zh-CN"/>
        </w:rPr>
        <w:t>公  示</w:t>
      </w:r>
      <w:bookmarkStart w:id="0" w:name="OLE_LINK1"/>
    </w:p>
    <w:p w14:paraId="04322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085D9A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spacing w:val="6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spacing w:val="6"/>
          <w:kern w:val="2"/>
          <w:sz w:val="32"/>
          <w:szCs w:val="32"/>
          <w:lang w:val="en-US" w:eastAsia="zh-CN" w:bidi="ar-SA"/>
        </w:rPr>
        <w:t>为进一步优化空间布局，提高规划的科学性、民主性和可实施性，根据《中华人民共和国城乡规划法》等有关法律、法规的规定，《古虞国文化广场建设项目选址研究报告》已经平陆县国土</w:t>
      </w:r>
      <w:r>
        <w:rPr>
          <w:rFonts w:hint="eastAsia" w:ascii="仿宋" w:hAnsi="仿宋" w:cs="仿宋"/>
          <w:b w:val="0"/>
          <w:color w:val="auto"/>
          <w:spacing w:val="6"/>
          <w:kern w:val="2"/>
          <w:sz w:val="32"/>
          <w:szCs w:val="32"/>
          <w:lang w:val="en-US" w:eastAsia="zh-CN" w:bidi="ar-SA"/>
        </w:rPr>
        <w:t>空间规划委员会2025年第二次会议审议</w:t>
      </w:r>
      <w:r>
        <w:rPr>
          <w:rFonts w:hint="eastAsia" w:ascii="仿宋" w:hAnsi="仿宋" w:eastAsia="仿宋" w:cs="仿宋"/>
          <w:b w:val="0"/>
          <w:color w:val="auto"/>
          <w:spacing w:val="6"/>
          <w:kern w:val="2"/>
          <w:sz w:val="32"/>
          <w:szCs w:val="32"/>
          <w:lang w:val="en-US" w:eastAsia="zh-CN" w:bidi="ar-SA"/>
        </w:rPr>
        <w:t>通过</w:t>
      </w:r>
      <w:r>
        <w:rPr>
          <w:rFonts w:hint="eastAsia" w:ascii="仿宋" w:hAnsi="仿宋" w:eastAsia="仿宋" w:cs="仿宋"/>
          <w:b w:val="0"/>
          <w:spacing w:val="6"/>
          <w:kern w:val="2"/>
          <w:sz w:val="32"/>
          <w:szCs w:val="32"/>
          <w:lang w:val="en-US" w:eastAsia="zh-CN" w:bidi="ar-SA"/>
        </w:rPr>
        <w:t>。按照法定程序，现将该选址研究报告和节约集约用地论证分析专章</w:t>
      </w:r>
      <w:r>
        <w:rPr>
          <w:rFonts w:hint="eastAsia" w:ascii="仿宋" w:hAnsi="仿宋" w:eastAsia="仿宋" w:cs="仿宋"/>
          <w:b w:val="0"/>
          <w:spacing w:val="6"/>
          <w:kern w:val="2"/>
          <w:sz w:val="32"/>
          <w:szCs w:val="32"/>
          <w:lang w:val="en-US" w:eastAsia="zh-CN" w:bidi="ar-SA"/>
        </w:rPr>
        <w:t>进行公示,欢迎社会各界人士提出宝贵意见和建议。</w:t>
      </w:r>
    </w:p>
    <w:p w14:paraId="75766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eastAsia" w:ascii="楷体" w:hAnsi="楷体" w:eastAsia="楷体" w:cs="楷体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一、公示时间</w:t>
      </w:r>
    </w:p>
    <w:p w14:paraId="6A4F647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3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cs="仿宋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cs="仿宋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cs="仿宋"/>
          <w:color w:val="333333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日至20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cs="仿宋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cs="仿宋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cs="仿宋"/>
          <w:color w:val="333333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日</w:t>
      </w:r>
      <w:r>
        <w:rPr>
          <w:rFonts w:hint="eastAsia" w:ascii="仿宋" w:hAnsi="仿宋" w:cs="仿宋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cs="仿宋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0个工作日</w:t>
      </w:r>
      <w:r>
        <w:rPr>
          <w:rFonts w:hint="eastAsia" w:ascii="仿宋" w:hAnsi="仿宋" w:cs="仿宋"/>
          <w:color w:val="333333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。</w:t>
      </w:r>
    </w:p>
    <w:p w14:paraId="79974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二、公示地点</w:t>
      </w:r>
    </w:p>
    <w:p w14:paraId="3EBEAB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平陆县人民政府网站</w:t>
      </w:r>
      <w:r>
        <w:rPr>
          <w:rFonts w:hint="eastAsia" w:ascii="仿宋" w:hAnsi="仿宋" w:cs="仿宋_GB2312"/>
          <w:sz w:val="32"/>
          <w:szCs w:val="32"/>
          <w:lang w:eastAsia="zh-CN"/>
        </w:rPr>
        <w:t>。</w:t>
      </w:r>
    </w:p>
    <w:p w14:paraId="4F88C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三、公示意见反馈方式</w:t>
      </w:r>
    </w:p>
    <w:p w14:paraId="5DA77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both"/>
        <w:textAlignment w:val="auto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cs="仿宋"/>
          <w:spacing w:val="6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电子邮件请发送到：plcjghg@126.com；</w:t>
      </w:r>
    </w:p>
    <w:p w14:paraId="624CF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both"/>
        <w:textAlignment w:val="auto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cs="仿宋"/>
          <w:spacing w:val="6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书面意见请邮寄至平陆县</w:t>
      </w:r>
      <w:r>
        <w:rPr>
          <w:rFonts w:hint="eastAsia" w:ascii="仿宋" w:hAnsi="仿宋" w:cs="仿宋"/>
          <w:spacing w:val="6"/>
          <w:sz w:val="32"/>
          <w:szCs w:val="32"/>
          <w:lang w:val="en-US" w:eastAsia="zh-CN"/>
        </w:rPr>
        <w:t>自然资源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局，邮编：044300；</w:t>
      </w:r>
    </w:p>
    <w:p w14:paraId="47F72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both"/>
        <w:textAlignment w:val="auto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cs="仿宋"/>
          <w:spacing w:val="6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意见和建议请在公示期限内提出，逾期未反馈，将视为无意见；</w:t>
      </w:r>
    </w:p>
    <w:p w14:paraId="45096D1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56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cs="仿宋"/>
          <w:spacing w:val="6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咨询电话：0359-3522113。</w:t>
      </w:r>
    </w:p>
    <w:p w14:paraId="01DC403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56" w:firstLineChars="200"/>
        <w:textAlignment w:val="auto"/>
        <w:rPr>
          <w:rFonts w:hint="eastAsia" w:ascii="黑体" w:hAnsi="黑体" w:eastAsia="黑体" w:cs="黑体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6"/>
          <w:kern w:val="2"/>
          <w:sz w:val="32"/>
          <w:szCs w:val="32"/>
          <w:lang w:val="en-US" w:eastAsia="zh-CN" w:bidi="ar-SA"/>
        </w:rPr>
        <w:t>四、公示内容</w:t>
      </w:r>
    </w:p>
    <w:p w14:paraId="18F106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spacing w:val="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pacing w:val="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（一）《古虞国文化广场建设项目选址研究报告》</w:t>
      </w:r>
    </w:p>
    <w:p w14:paraId="4D7E3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1.选址位置</w:t>
      </w:r>
    </w:p>
    <w:p w14:paraId="0D306C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选址位置位于平陆县张店镇康乐大街南侧（张店镇政府对面），地块面积9782平方米。</w:t>
      </w:r>
      <w:bookmarkStart w:id="1" w:name="_GoBack"/>
      <w:bookmarkEnd w:id="1"/>
    </w:p>
    <w:p w14:paraId="21DBC6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2.主要建设内容</w:t>
      </w:r>
    </w:p>
    <w:p w14:paraId="56CF69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项目性质</w:t>
      </w:r>
    </w:p>
    <w:p w14:paraId="40FBFF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项目类型：公共服务类</w:t>
      </w:r>
    </w:p>
    <w:p w14:paraId="01B8C4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项目级别：县级</w:t>
      </w:r>
    </w:p>
    <w:p w14:paraId="0EAD05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项目性质：新建项目</w:t>
      </w:r>
    </w:p>
    <w:p w14:paraId="679D9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建设标准</w:t>
      </w:r>
    </w:p>
    <w:p w14:paraId="318419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建设标准：小城市和建制镇广场项目</w:t>
      </w:r>
    </w:p>
    <w:p w14:paraId="1C62EC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default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功能分区</w:t>
      </w:r>
    </w:p>
    <w:p w14:paraId="0A8E63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项目分为三个功能分区：管理服务区、硬质铺装区、绿化区。</w:t>
      </w:r>
    </w:p>
    <w:p w14:paraId="5401E6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default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管理服务区0.0650公顷：主要为村民服务中心与配套服务用房。</w:t>
      </w:r>
    </w:p>
    <w:p w14:paraId="7863B1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default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硬质铺装区0.5</w:t>
      </w:r>
      <w:r>
        <w:rPr>
          <w:rFonts w:hint="eastAsia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692</w:t>
      </w:r>
      <w:r>
        <w:rPr>
          <w:rFonts w:hint="default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公顷：主要为广场硬化、道路硬化、塑胶跑道及停车区域硬化。</w:t>
      </w:r>
    </w:p>
    <w:p w14:paraId="1D45E3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FF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default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绿化区0.3440公顷：主要为广场绿化及生态车位。</w:t>
      </w:r>
    </w:p>
    <w:p w14:paraId="4BEBF3B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jc w:val="left"/>
        <w:textAlignment w:val="auto"/>
        <w:rPr>
          <w:rFonts w:hint="default" w:ascii="仿宋" w:hAnsi="仿宋" w:cs="仿宋"/>
          <w:b/>
          <w:bCs/>
          <w:color w:val="000000" w:themeColor="text1"/>
          <w:spacing w:val="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pacing w:val="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3.选址位置示意图</w:t>
      </w:r>
    </w:p>
    <w:p w14:paraId="5F666D5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0"/>
        <w:jc w:val="left"/>
        <w:textAlignment w:val="auto"/>
        <w:rPr>
          <w:rFonts w:hint="eastAsia" w:ascii="仿宋" w:hAnsi="仿宋" w:cs="仿宋"/>
          <w:b/>
          <w:bCs/>
          <w:spacing w:val="6"/>
          <w:kern w:val="2"/>
          <w:sz w:val="32"/>
          <w:szCs w:val="32"/>
          <w:lang w:val="en-US" w:eastAsia="zh-CN" w:bidi="ar-SA"/>
        </w:rPr>
      </w:pPr>
    </w:p>
    <w:p w14:paraId="24ABBA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" w:hAnsi="仿宋" w:cs="仿宋"/>
          <w:b/>
          <w:bCs/>
          <w:spacing w:val="6"/>
          <w:kern w:val="2"/>
          <w:sz w:val="32"/>
          <w:szCs w:val="32"/>
          <w:lang w:val="en-US" w:eastAsia="zh-CN" w:bidi="ar-S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922655</wp:posOffset>
            </wp:positionH>
            <wp:positionV relativeFrom="paragraph">
              <wp:posOffset>-21590</wp:posOffset>
            </wp:positionV>
            <wp:extent cx="4253865" cy="3444240"/>
            <wp:effectExtent l="9525" t="9525" r="22860" b="13335"/>
            <wp:wrapTopAndBottom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3865" cy="34442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394B95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spacing w:val="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pacing w:val="6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（二）《平陆县黄平线（国道209至国道522）连接线改造工程节约集约用地论证分析专章》</w:t>
      </w:r>
    </w:p>
    <w:p w14:paraId="37F20F5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0"/>
        <w:jc w:val="left"/>
        <w:textAlignment w:val="auto"/>
        <w:rPr>
          <w:rFonts w:hint="default" w:ascii="仿宋" w:hAnsi="仿宋" w:cs="仿宋"/>
          <w:b/>
          <w:bCs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/>
          <w:bCs/>
          <w:spacing w:val="6"/>
          <w:kern w:val="2"/>
          <w:sz w:val="32"/>
          <w:szCs w:val="32"/>
          <w:lang w:val="en-US" w:eastAsia="zh-CN" w:bidi="ar-SA"/>
        </w:rPr>
        <w:t>1.项目位置</w:t>
      </w:r>
    </w:p>
    <w:p w14:paraId="01A69A6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0"/>
        <w:jc w:val="left"/>
        <w:textAlignment w:val="auto"/>
        <w:rPr>
          <w:rFonts w:hint="eastAsia" w:ascii="仿宋" w:hAnsi="仿宋" w:cs="仿宋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项目位于山西省运城市平陆县圣人涧镇，线路全长4.106</w:t>
      </w:r>
    </w:p>
    <w:p w14:paraId="79EF1DF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cs="仿宋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千米，用地总面积为28.7606公顷，其中原有条山大街线路长3.199千米，用地面积22.4088公顷，属于对路面进行改造的区域，不涉及新增建设用地；新建线路长0.907千米，新增用地面积6.3518公顷，专章主要针对新增用地部分进行分析论述。</w:t>
      </w:r>
    </w:p>
    <w:p w14:paraId="76C82BC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0"/>
        <w:jc w:val="left"/>
        <w:textAlignment w:val="auto"/>
        <w:rPr>
          <w:rFonts w:hint="eastAsia" w:ascii="仿宋" w:hAnsi="仿宋" w:cs="仿宋"/>
          <w:b/>
          <w:bCs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/>
          <w:bCs/>
          <w:spacing w:val="6"/>
          <w:kern w:val="2"/>
          <w:sz w:val="32"/>
          <w:szCs w:val="32"/>
          <w:lang w:val="en-US" w:eastAsia="zh-CN" w:bidi="ar-SA"/>
        </w:rPr>
        <w:t>2.建设内容</w:t>
      </w:r>
    </w:p>
    <w:p w14:paraId="0A59808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cs="仿宋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 xml:space="preserve">   根据项目可行性研究报告，将项目新增用地功能分区为道路用地和绿化用地，项目功能分区面积、比例和建设内容见下表：</w:t>
      </w:r>
    </w:p>
    <w:tbl>
      <w:tblPr>
        <w:tblStyle w:val="7"/>
        <w:tblpPr w:leftFromText="180" w:rightFromText="180" w:vertAnchor="text" w:horzAnchor="page" w:tblpX="1822" w:tblpY="510"/>
        <w:tblOverlap w:val="never"/>
        <w:tblW w:w="9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1764"/>
        <w:gridCol w:w="1964"/>
        <w:gridCol w:w="1847"/>
        <w:gridCol w:w="2794"/>
      </w:tblGrid>
      <w:tr w14:paraId="1DA30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2565" w:type="dxa"/>
            <w:gridSpan w:val="2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9CD2D9">
            <w:pPr>
              <w:pStyle w:val="6"/>
              <w:keepNext w:val="0"/>
              <w:keepLines w:val="0"/>
              <w:widowControl/>
              <w:suppressLineNumbers w:val="0"/>
              <w:kinsoku w:val="0"/>
              <w:wordWrap/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功能分区</w:t>
            </w:r>
          </w:p>
        </w:tc>
        <w:tc>
          <w:tcPr>
            <w:tcW w:w="1964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40F858">
            <w:pPr>
              <w:pStyle w:val="6"/>
              <w:keepNext w:val="0"/>
              <w:keepLines w:val="0"/>
              <w:widowControl/>
              <w:suppressLineNumbers w:val="0"/>
              <w:kinsoku w:val="0"/>
              <w:wordWrap/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用地面积（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公顷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847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92C7DC">
            <w:pPr>
              <w:pStyle w:val="6"/>
              <w:keepNext w:val="0"/>
              <w:keepLines w:val="0"/>
              <w:widowControl/>
              <w:suppressLineNumbers w:val="0"/>
              <w:kinsoku w:val="0"/>
              <w:wordWrap/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占用地总规模比例（%）</w:t>
            </w:r>
          </w:p>
        </w:tc>
        <w:tc>
          <w:tcPr>
            <w:tcW w:w="2794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5D483D">
            <w:pPr>
              <w:pStyle w:val="6"/>
              <w:keepNext w:val="0"/>
              <w:keepLines w:val="0"/>
              <w:widowControl/>
              <w:suppressLineNumbers w:val="0"/>
              <w:kinsoku w:val="0"/>
              <w:wordWrap/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建设内容</w:t>
            </w:r>
          </w:p>
        </w:tc>
      </w:tr>
      <w:tr w14:paraId="1AA01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01" w:type="dxa"/>
            <w:vMerge w:val="restart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C54CC7">
            <w:pPr>
              <w:pStyle w:val="6"/>
              <w:keepNext w:val="0"/>
              <w:keepLines w:val="0"/>
              <w:widowControl/>
              <w:suppressLineNumbers w:val="0"/>
              <w:kinsoku w:val="0"/>
              <w:wordWrap/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道路</w:t>
            </w:r>
          </w:p>
          <w:p w14:paraId="3EBB2657">
            <w:pPr>
              <w:pStyle w:val="6"/>
              <w:keepNext w:val="0"/>
              <w:keepLines w:val="0"/>
              <w:widowControl/>
              <w:suppressLineNumbers w:val="0"/>
              <w:kinsoku w:val="0"/>
              <w:wordWrap/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用地</w:t>
            </w:r>
          </w:p>
        </w:tc>
        <w:tc>
          <w:tcPr>
            <w:tcW w:w="1764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EEA109">
            <w:pPr>
              <w:pStyle w:val="6"/>
              <w:keepNext w:val="0"/>
              <w:keepLines w:val="0"/>
              <w:widowControl/>
              <w:suppressLineNumbers w:val="0"/>
              <w:kinsoku w:val="0"/>
              <w:wordWrap/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行车道</w:t>
            </w:r>
          </w:p>
        </w:tc>
        <w:tc>
          <w:tcPr>
            <w:tcW w:w="1964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395928">
            <w:pPr>
              <w:pStyle w:val="6"/>
              <w:keepNext w:val="0"/>
              <w:keepLines w:val="0"/>
              <w:widowControl/>
              <w:suppressLineNumbers w:val="0"/>
              <w:kinsoku w:val="0"/>
              <w:wordWrap/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1.9051</w:t>
            </w:r>
          </w:p>
        </w:tc>
        <w:tc>
          <w:tcPr>
            <w:tcW w:w="1847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39182F">
            <w:pPr>
              <w:pStyle w:val="6"/>
              <w:keepNext w:val="0"/>
              <w:keepLines w:val="0"/>
              <w:widowControl/>
              <w:suppressLineNumbers w:val="0"/>
              <w:kinsoku w:val="0"/>
              <w:wordWrap/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29.99</w:t>
            </w:r>
          </w:p>
        </w:tc>
        <w:tc>
          <w:tcPr>
            <w:tcW w:w="2794" w:type="dxa"/>
            <w:vMerge w:val="restart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689CD3">
            <w:pPr>
              <w:pStyle w:val="6"/>
              <w:keepNext w:val="0"/>
              <w:keepLines w:val="0"/>
              <w:widowControl/>
              <w:suppressLineNumbers w:val="0"/>
              <w:kinsoku w:val="0"/>
              <w:wordWrap/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路基工程、路面工程、桥涵工程、安全设施、其他工程等</w:t>
            </w:r>
          </w:p>
        </w:tc>
      </w:tr>
      <w:tr w14:paraId="6D800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01" w:type="dxa"/>
            <w:vMerge w:val="continue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23BA2B"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EEA98A">
            <w:pPr>
              <w:pStyle w:val="6"/>
              <w:keepNext w:val="0"/>
              <w:keepLines w:val="0"/>
              <w:widowControl/>
              <w:suppressLineNumbers w:val="0"/>
              <w:kinsoku w:val="0"/>
              <w:wordWrap/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非机动车道</w:t>
            </w:r>
          </w:p>
        </w:tc>
        <w:tc>
          <w:tcPr>
            <w:tcW w:w="1964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17ED07">
            <w:pPr>
              <w:pStyle w:val="6"/>
              <w:keepNext w:val="0"/>
              <w:keepLines w:val="0"/>
              <w:widowControl/>
              <w:suppressLineNumbers w:val="0"/>
              <w:kinsoku w:val="0"/>
              <w:wordWrap/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0.9074</w:t>
            </w:r>
          </w:p>
        </w:tc>
        <w:tc>
          <w:tcPr>
            <w:tcW w:w="1847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025C61">
            <w:pPr>
              <w:pStyle w:val="6"/>
              <w:keepNext w:val="0"/>
              <w:keepLines w:val="0"/>
              <w:widowControl/>
              <w:suppressLineNumbers w:val="0"/>
              <w:kinsoku w:val="0"/>
              <w:wordWrap/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14.29</w:t>
            </w:r>
          </w:p>
        </w:tc>
        <w:tc>
          <w:tcPr>
            <w:tcW w:w="2794" w:type="dxa"/>
            <w:vMerge w:val="continue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E237BF"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 w14:paraId="5E5B6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01" w:type="dxa"/>
            <w:vMerge w:val="continue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FD038"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E8BBF1">
            <w:pPr>
              <w:pStyle w:val="6"/>
              <w:keepNext w:val="0"/>
              <w:keepLines w:val="0"/>
              <w:widowControl/>
              <w:suppressLineNumbers w:val="0"/>
              <w:kinsoku w:val="0"/>
              <w:wordWrap/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人行道</w:t>
            </w:r>
          </w:p>
        </w:tc>
        <w:tc>
          <w:tcPr>
            <w:tcW w:w="1964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70DB59">
            <w:pPr>
              <w:pStyle w:val="6"/>
              <w:keepNext w:val="0"/>
              <w:keepLines w:val="0"/>
              <w:widowControl/>
              <w:suppressLineNumbers w:val="0"/>
              <w:kinsoku w:val="0"/>
              <w:wordWrap/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0.7260</w:t>
            </w:r>
          </w:p>
        </w:tc>
        <w:tc>
          <w:tcPr>
            <w:tcW w:w="1847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4F2480">
            <w:pPr>
              <w:pStyle w:val="6"/>
              <w:keepNext w:val="0"/>
              <w:keepLines w:val="0"/>
              <w:widowControl/>
              <w:suppressLineNumbers w:val="0"/>
              <w:kinsoku w:val="0"/>
              <w:wordWrap/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11.43</w:t>
            </w:r>
          </w:p>
        </w:tc>
        <w:tc>
          <w:tcPr>
            <w:tcW w:w="2794" w:type="dxa"/>
            <w:vMerge w:val="continue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8125D4"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 w14:paraId="0DBC3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01" w:type="dxa"/>
            <w:vMerge w:val="continue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AA1C88"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F74766">
            <w:pPr>
              <w:pStyle w:val="6"/>
              <w:keepNext w:val="0"/>
              <w:keepLines w:val="0"/>
              <w:widowControl/>
              <w:suppressLineNumbers w:val="0"/>
              <w:kinsoku w:val="0"/>
              <w:wordWrap/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中间带</w:t>
            </w:r>
          </w:p>
        </w:tc>
        <w:tc>
          <w:tcPr>
            <w:tcW w:w="1964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BC2B70">
            <w:pPr>
              <w:pStyle w:val="6"/>
              <w:keepNext w:val="0"/>
              <w:keepLines w:val="0"/>
              <w:widowControl/>
              <w:suppressLineNumbers w:val="0"/>
              <w:kinsoku w:val="0"/>
              <w:wordWrap/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0.0911</w:t>
            </w:r>
          </w:p>
        </w:tc>
        <w:tc>
          <w:tcPr>
            <w:tcW w:w="1847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A3C5BB">
            <w:pPr>
              <w:pStyle w:val="6"/>
              <w:keepNext w:val="0"/>
              <w:keepLines w:val="0"/>
              <w:widowControl/>
              <w:suppressLineNumbers w:val="0"/>
              <w:kinsoku w:val="0"/>
              <w:wordWrap/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1.43</w:t>
            </w:r>
          </w:p>
        </w:tc>
        <w:tc>
          <w:tcPr>
            <w:tcW w:w="2794" w:type="dxa"/>
            <w:vMerge w:val="continue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95F263"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 w14:paraId="38E71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01" w:type="dxa"/>
            <w:vMerge w:val="continue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210A7E">
            <w:pPr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D070CD">
            <w:pPr>
              <w:pStyle w:val="6"/>
              <w:keepNext w:val="0"/>
              <w:keepLines w:val="0"/>
              <w:widowControl/>
              <w:suppressLineNumbers w:val="0"/>
              <w:kinsoku w:val="0"/>
              <w:wordWrap/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小计</w:t>
            </w:r>
          </w:p>
        </w:tc>
        <w:tc>
          <w:tcPr>
            <w:tcW w:w="1964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76D5A2">
            <w:pPr>
              <w:pStyle w:val="6"/>
              <w:keepNext w:val="0"/>
              <w:keepLines w:val="0"/>
              <w:widowControl/>
              <w:suppressLineNumbers w:val="0"/>
              <w:kinsoku w:val="0"/>
              <w:wordWrap/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3.6296</w:t>
            </w:r>
          </w:p>
        </w:tc>
        <w:tc>
          <w:tcPr>
            <w:tcW w:w="1847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1D6BBB">
            <w:pPr>
              <w:pStyle w:val="6"/>
              <w:keepNext w:val="0"/>
              <w:keepLines w:val="0"/>
              <w:widowControl/>
              <w:suppressLineNumbers w:val="0"/>
              <w:kinsoku w:val="0"/>
              <w:wordWrap/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57.14</w:t>
            </w:r>
          </w:p>
        </w:tc>
        <w:tc>
          <w:tcPr>
            <w:tcW w:w="2794" w:type="dxa"/>
            <w:vMerge w:val="continue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436D3">
            <w:pPr>
              <w:rPr>
                <w:rFonts w:hint="eastAsia" w:ascii="宋体"/>
                <w:sz w:val="22"/>
                <w:szCs w:val="22"/>
              </w:rPr>
            </w:pPr>
          </w:p>
        </w:tc>
      </w:tr>
      <w:tr w14:paraId="628EA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565" w:type="dxa"/>
            <w:gridSpan w:val="2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BCC714">
            <w:pPr>
              <w:pStyle w:val="6"/>
              <w:keepNext w:val="0"/>
              <w:keepLines w:val="0"/>
              <w:widowControl/>
              <w:suppressLineNumbers w:val="0"/>
              <w:kinsoku w:val="0"/>
              <w:wordWrap/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绿化用地</w:t>
            </w:r>
          </w:p>
        </w:tc>
        <w:tc>
          <w:tcPr>
            <w:tcW w:w="1964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F0F88F">
            <w:pPr>
              <w:pStyle w:val="6"/>
              <w:keepNext w:val="0"/>
              <w:keepLines w:val="0"/>
              <w:widowControl/>
              <w:suppressLineNumbers w:val="0"/>
              <w:kinsoku w:val="0"/>
              <w:wordWrap/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2.7222</w:t>
            </w:r>
          </w:p>
        </w:tc>
        <w:tc>
          <w:tcPr>
            <w:tcW w:w="1847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C49AE2">
            <w:pPr>
              <w:pStyle w:val="6"/>
              <w:keepNext w:val="0"/>
              <w:keepLines w:val="0"/>
              <w:widowControl/>
              <w:suppressLineNumbers w:val="0"/>
              <w:kinsoku w:val="0"/>
              <w:wordWrap/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42.86</w:t>
            </w:r>
          </w:p>
        </w:tc>
        <w:tc>
          <w:tcPr>
            <w:tcW w:w="2794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EAE26C">
            <w:pPr>
              <w:pStyle w:val="6"/>
              <w:keepNext w:val="0"/>
              <w:keepLines w:val="0"/>
              <w:widowControl/>
              <w:suppressLineNumbers w:val="0"/>
              <w:kinsoku w:val="0"/>
              <w:wordWrap/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绿化工程</w:t>
            </w:r>
          </w:p>
        </w:tc>
      </w:tr>
      <w:tr w14:paraId="382BB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565" w:type="dxa"/>
            <w:gridSpan w:val="2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B370FE">
            <w:pPr>
              <w:pStyle w:val="6"/>
              <w:keepNext w:val="0"/>
              <w:keepLines w:val="0"/>
              <w:widowControl/>
              <w:suppressLineNumbers w:val="0"/>
              <w:kinsoku w:val="0"/>
              <w:wordWrap/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964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CB7485">
            <w:pPr>
              <w:pStyle w:val="6"/>
              <w:keepNext w:val="0"/>
              <w:keepLines w:val="0"/>
              <w:widowControl/>
              <w:suppressLineNumbers w:val="0"/>
              <w:kinsoku w:val="0"/>
              <w:wordWrap/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6.3518</w:t>
            </w:r>
          </w:p>
        </w:tc>
        <w:tc>
          <w:tcPr>
            <w:tcW w:w="1847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C5C8BC">
            <w:pPr>
              <w:pStyle w:val="6"/>
              <w:keepNext w:val="0"/>
              <w:keepLines w:val="0"/>
              <w:widowControl/>
              <w:suppressLineNumbers w:val="0"/>
              <w:kinsoku w:val="0"/>
              <w:wordWrap/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794" w:type="dxa"/>
            <w:tcBorders>
              <w:top w:val="single" w:color="000008" w:sz="6" w:space="0"/>
              <w:left w:val="single" w:color="000008" w:sz="6" w:space="0"/>
              <w:bottom w:val="single" w:color="000008" w:sz="6" w:space="0"/>
              <w:right w:val="single" w:color="000008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7AEF11">
            <w:pPr>
              <w:pStyle w:val="6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sz w:val="22"/>
                <w:szCs w:val="22"/>
              </w:rPr>
            </w:pPr>
          </w:p>
        </w:tc>
      </w:tr>
    </w:tbl>
    <w:p w14:paraId="5A09062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0"/>
        <w:jc w:val="left"/>
        <w:textAlignment w:val="auto"/>
        <w:rPr>
          <w:rFonts w:hint="eastAsia" w:ascii="仿宋" w:hAnsi="仿宋" w:cs="仿宋"/>
          <w:b/>
          <w:bCs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/>
          <w:bCs/>
          <w:spacing w:val="6"/>
          <w:kern w:val="2"/>
          <w:sz w:val="32"/>
          <w:szCs w:val="32"/>
          <w:lang w:val="en-US" w:eastAsia="zh-CN" w:bidi="ar-SA"/>
        </w:rPr>
        <w:t>3.节地分析</w:t>
      </w:r>
    </w:p>
    <w:p w14:paraId="7EA087C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0"/>
        <w:jc w:val="left"/>
        <w:textAlignment w:val="auto"/>
        <w:rPr>
          <w:rFonts w:hint="default" w:ascii="仿宋" w:hAnsi="仿宋" w:cs="仿宋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（1）节地措施分析</w:t>
      </w:r>
    </w:p>
    <w:p w14:paraId="03B36DB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0"/>
        <w:jc w:val="left"/>
        <w:textAlignment w:val="auto"/>
        <w:rPr>
          <w:rFonts w:hint="eastAsia" w:ascii="仿宋" w:hAnsi="仿宋" w:cs="仿宋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项目的设计在满足公路工程建设标准规范的前提下，在保证项目设计“安全、经济、适用”的前提下采取了利用原有路基、减少项目路线转弯处的弯道占地、同时充分利用现场土地资源，在满足工程设计要求的前提下，优化布置，节约每一分土地资源，减少项目设施工程中占用临时用地。</w:t>
      </w:r>
    </w:p>
    <w:p w14:paraId="4478305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0"/>
        <w:jc w:val="left"/>
        <w:textAlignment w:val="auto"/>
        <w:rPr>
          <w:rFonts w:hint="default" w:ascii="仿宋" w:hAnsi="仿宋" w:cs="仿宋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>（2）节地技术分析</w:t>
      </w:r>
    </w:p>
    <w:p w14:paraId="3BEEBA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0"/>
        <w:jc w:val="left"/>
        <w:textAlignment w:val="auto"/>
        <w:rPr>
          <w:rFonts w:hint="eastAsia" w:ascii="仿宋" w:hAnsi="仿宋" w:cs="仿宋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 xml:space="preserve"> ①改造路段节地技术。项目建设总长度4.106km，其中原有条山大街长3.199km，新建道路0.907km，项目在设计过程中对于改造工程，尽量利用原有道路，不新增占地，通过利用原有道路，项目节省用地22.4088公顷。</w:t>
      </w:r>
    </w:p>
    <w:p w14:paraId="6EB5B8C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0"/>
        <w:jc w:val="left"/>
        <w:textAlignment w:val="auto"/>
        <w:rPr>
          <w:rFonts w:hint="eastAsia" w:ascii="仿宋" w:hAnsi="仿宋" w:cs="仿宋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 xml:space="preserve"> ②项目新建路段节地。由于项目新建路段地形地貌高差较大，在建设工程中会产生大量的挖方和填方工程，本项目新建路段在设计过程中采用的挖填方平衡的原则，保证项目建设的过程充不会因为大的挖方或者填方形成大的高边坡，同时对边坡的设计在满足安全的前提下，尽量减小放坡比例，体现了项目节约集约用地的原则。</w:t>
      </w:r>
    </w:p>
    <w:p w14:paraId="1E4B437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0"/>
        <w:jc w:val="left"/>
        <w:textAlignment w:val="auto"/>
        <w:rPr>
          <w:rFonts w:hint="eastAsia" w:ascii="仿宋" w:hAnsi="仿宋" w:cs="仿宋"/>
          <w:b w:val="0"/>
          <w:bCs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b w:val="0"/>
          <w:bCs w:val="0"/>
          <w:spacing w:val="6"/>
          <w:kern w:val="2"/>
          <w:sz w:val="32"/>
          <w:szCs w:val="32"/>
          <w:lang w:val="en-US" w:eastAsia="zh-CN" w:bidi="ar-SA"/>
        </w:rPr>
        <w:t xml:space="preserve"> ③项目建设临时用地节地。项目改造工程部分，采用分车道施工的原则，在项目改造路面的过程中，不再设置临时用地场地，对临时的施工区域，尽量设置在现有的道路红线范围内，有效的减少占地；对于项目新建路段，临时用地充分利用现有的道路，对于挖方和填方的区域，采取同时段施工，不再单独设置临时的取土场和弃土场等临时用地，体现了项目在临时用地方面节约集约用地的原则。</w:t>
      </w:r>
    </w:p>
    <w:p w14:paraId="323CA29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0"/>
        <w:jc w:val="left"/>
        <w:textAlignment w:val="auto"/>
        <w:rPr>
          <w:rFonts w:hint="eastAsia" w:ascii="仿宋" w:hAnsi="仿宋" w:cs="仿宋"/>
          <w:b/>
          <w:bCs/>
          <w:spacing w:val="6"/>
          <w:kern w:val="2"/>
          <w:sz w:val="32"/>
          <w:szCs w:val="32"/>
          <w:lang w:val="en-US" w:eastAsia="zh-CN" w:bidi="ar-SA"/>
        </w:rPr>
      </w:pPr>
    </w:p>
    <w:p w14:paraId="670E5D4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6" w:firstLineChars="200"/>
        <w:jc w:val="left"/>
        <w:textAlignment w:val="auto"/>
        <w:rPr>
          <w:rFonts w:hint="eastAsia" w:ascii="仿宋" w:hAnsi="仿宋" w:cs="仿宋"/>
          <w:b/>
          <w:bCs/>
          <w:spacing w:val="6"/>
          <w:kern w:val="2"/>
          <w:sz w:val="32"/>
          <w:szCs w:val="32"/>
          <w:lang w:val="en-US" w:eastAsia="zh-CN" w:bidi="ar-SA"/>
        </w:rPr>
      </w:pPr>
    </w:p>
    <w:bookmarkEnd w:id="0"/>
    <w:p w14:paraId="26EF9B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688" w:firstLineChars="1800"/>
        <w:jc w:val="both"/>
        <w:textAlignment w:val="auto"/>
        <w:outlineLvl w:val="9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474" w:bottom="1984" w:left="1588" w:header="851" w:footer="140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1B5D2">
    <w:pPr>
      <w:pStyle w:val="4"/>
      <w:jc w:val="right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D7229A"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lang w:eastAsia="zh-CN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0lY7tAAAAAFAQAA&#10;DwAAAAAAAAABACAAAAAiAAAAZHJzL2Rvd25yZXYueG1sUEsBAhQAFAAAAAgAh07iQOvtEsLoAQAA&#10;yAMAAA4AAAAAAAAAAQAgAAAAHwEAAGRycy9lMm9Eb2MueG1sUEsFBgAAAAAGAAYAWQEAAHk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D7229A">
                    <w:pPr>
                      <w:pStyle w:val="4"/>
                      <w:jc w:val="right"/>
                    </w:pPr>
                    <w:r>
                      <w:rPr>
                        <w:rFonts w:hint="eastAsia" w:ascii="宋体" w:hAnsi="宋体" w:cs="宋体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lang w:eastAsia="zh-CN"/>
                      </w:rPr>
                      <w:instrText xml:space="preserve"> PAGE \* Arabic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31C52">
    <w:pPr>
      <w:pStyle w:val="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F8B47">
    <w:pPr>
      <w:pStyle w:val="4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F8375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68A3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OTYzOWU2ODAzMWNiNGNkMTEyNDZkZmVjY2YwN2YifQ=="/>
  </w:docVars>
  <w:rsids>
    <w:rsidRoot w:val="00000000"/>
    <w:rsid w:val="003B3D3E"/>
    <w:rsid w:val="01DD2D49"/>
    <w:rsid w:val="0301550A"/>
    <w:rsid w:val="0305004C"/>
    <w:rsid w:val="053F51F8"/>
    <w:rsid w:val="05B80C59"/>
    <w:rsid w:val="06874187"/>
    <w:rsid w:val="09EC58F3"/>
    <w:rsid w:val="0A132C02"/>
    <w:rsid w:val="0B0C18FE"/>
    <w:rsid w:val="0BFB5F44"/>
    <w:rsid w:val="0C9A4658"/>
    <w:rsid w:val="0D7C07BE"/>
    <w:rsid w:val="0F916285"/>
    <w:rsid w:val="0FD56282"/>
    <w:rsid w:val="10066A65"/>
    <w:rsid w:val="107C6D27"/>
    <w:rsid w:val="10CD74F3"/>
    <w:rsid w:val="11F2110E"/>
    <w:rsid w:val="133002B2"/>
    <w:rsid w:val="18B46AA2"/>
    <w:rsid w:val="1A96341B"/>
    <w:rsid w:val="1B000C46"/>
    <w:rsid w:val="1B523561"/>
    <w:rsid w:val="1B9634CA"/>
    <w:rsid w:val="1F246B6E"/>
    <w:rsid w:val="21D42D66"/>
    <w:rsid w:val="21E55D2C"/>
    <w:rsid w:val="22CE7885"/>
    <w:rsid w:val="26064A43"/>
    <w:rsid w:val="282B6F5C"/>
    <w:rsid w:val="289D7996"/>
    <w:rsid w:val="29F35F3B"/>
    <w:rsid w:val="2A416C33"/>
    <w:rsid w:val="2CB26E8F"/>
    <w:rsid w:val="2FD9100A"/>
    <w:rsid w:val="301F4960"/>
    <w:rsid w:val="31552AFA"/>
    <w:rsid w:val="33463D5A"/>
    <w:rsid w:val="35D408E8"/>
    <w:rsid w:val="378C27C6"/>
    <w:rsid w:val="378E1534"/>
    <w:rsid w:val="39CC0A8F"/>
    <w:rsid w:val="40AC6459"/>
    <w:rsid w:val="41524D7A"/>
    <w:rsid w:val="41A00DE6"/>
    <w:rsid w:val="423F05E2"/>
    <w:rsid w:val="42540D21"/>
    <w:rsid w:val="440451B3"/>
    <w:rsid w:val="44B512EC"/>
    <w:rsid w:val="4A634F68"/>
    <w:rsid w:val="4A9C7659"/>
    <w:rsid w:val="4B23597E"/>
    <w:rsid w:val="4BBB25C9"/>
    <w:rsid w:val="4CBD3A2C"/>
    <w:rsid w:val="4CF808C7"/>
    <w:rsid w:val="4E5B2C7B"/>
    <w:rsid w:val="4F300AD2"/>
    <w:rsid w:val="4FDD232F"/>
    <w:rsid w:val="503C39CB"/>
    <w:rsid w:val="50C2604C"/>
    <w:rsid w:val="52961E51"/>
    <w:rsid w:val="537519C9"/>
    <w:rsid w:val="539F6F74"/>
    <w:rsid w:val="5592151F"/>
    <w:rsid w:val="5604697E"/>
    <w:rsid w:val="56422AEB"/>
    <w:rsid w:val="583354EA"/>
    <w:rsid w:val="58C6180C"/>
    <w:rsid w:val="58D47DC9"/>
    <w:rsid w:val="5F527E12"/>
    <w:rsid w:val="5F9B5588"/>
    <w:rsid w:val="602A1338"/>
    <w:rsid w:val="608A4105"/>
    <w:rsid w:val="61DF3FED"/>
    <w:rsid w:val="61E34544"/>
    <w:rsid w:val="61F0424A"/>
    <w:rsid w:val="6251243C"/>
    <w:rsid w:val="632D4402"/>
    <w:rsid w:val="638E39EE"/>
    <w:rsid w:val="650F4B96"/>
    <w:rsid w:val="67115AF2"/>
    <w:rsid w:val="676776A4"/>
    <w:rsid w:val="67A21D44"/>
    <w:rsid w:val="67E63ED9"/>
    <w:rsid w:val="696E7F00"/>
    <w:rsid w:val="6C327B30"/>
    <w:rsid w:val="6E8A516D"/>
    <w:rsid w:val="6EF052A5"/>
    <w:rsid w:val="6F4E2CEC"/>
    <w:rsid w:val="70FA0808"/>
    <w:rsid w:val="7391163C"/>
    <w:rsid w:val="7697031F"/>
    <w:rsid w:val="79EB3639"/>
    <w:rsid w:val="7A5370D6"/>
    <w:rsid w:val="7E2854DD"/>
    <w:rsid w:val="7E5732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微软雅黑 Light" w:hAnsi="微软雅黑 Light" w:eastAsia="仿宋" w:cs="微软雅黑 Light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spacing w:line="360" w:lineRule="auto"/>
      <w:ind w:left="420" w:leftChars="200" w:firstLine="640" w:firstLineChars="200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样式3"/>
    <w:qFormat/>
    <w:uiPriority w:val="0"/>
    <w:pPr>
      <w:widowControl w:val="0"/>
      <w:ind w:firstLine="560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1486</Words>
  <Characters>1675</Characters>
  <Lines>0</Lines>
  <Paragraphs>0</Paragraphs>
  <TotalTime>9</TotalTime>
  <ScaleCrop>false</ScaleCrop>
  <LinksUpToDate>false</LinksUpToDate>
  <CharactersWithSpaces>1690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2022-11-17T00:39:00Z</dcterms:created>
  <dc:creator>a</dc:creator>
  <cp:lastModifiedBy>Nut～～～</cp:lastModifiedBy>
  <cp:lastPrinted>2025-04-07T01:28:03Z</cp:lastPrinted>
  <dcterms:modified xsi:type="dcterms:W3CDTF">2025-04-07T01:34:55Z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BC933ED5F0BA4DD889094094C481E9FB_13</vt:lpwstr>
  </property>
  <property fmtid="{D5CDD505-2E9C-101B-9397-08002B2CF9AE}" pid="4" name="KSOTemplateDocerSaveRecord">
    <vt:lpwstr>eyJoZGlkIjoiNjFkOTYzOWU2ODAzMWNiNGNkMTEyNDZkZmVjY2YwN2YiLCJ1c2VySWQiOiI0NDI1MzkxNzAifQ==</vt:lpwstr>
  </property>
</Properties>
</file>