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786BD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Cs w:val="44"/>
          <w:lang w:val="en-US" w:eastAsia="zh-CN"/>
        </w:rPr>
      </w:pPr>
    </w:p>
    <w:p w14:paraId="5F6B5DC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Cs w:val="44"/>
          <w:lang w:val="en-US" w:eastAsia="zh-CN"/>
        </w:rPr>
        <w:t>平陆县国土空间规划委员会办公室</w:t>
      </w:r>
    </w:p>
    <w:p w14:paraId="47EF948E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color w:val="auto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Cs w:val="44"/>
          <w:lang w:val="en-US" w:eastAsia="zh-CN"/>
        </w:rPr>
        <w:t>关于圣人大街北、傅岩路东侧部分地块等14个地块详细规划的公示</w:t>
      </w:r>
      <w:bookmarkStart w:id="0" w:name="OLE_LINK1"/>
    </w:p>
    <w:p w14:paraId="39A3BC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</w:p>
    <w:p w14:paraId="3B32FE43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left"/>
        <w:textAlignment w:val="auto"/>
        <w:rPr>
          <w:rFonts w:hint="eastAsia" w:ascii="仿宋" w:hAnsi="仿宋" w:eastAsia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cs="仿宋"/>
          <w:color w:val="auto"/>
          <w:spacing w:val="6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为进一步优化空间布局，提高规划的科学性、民主性和可实施性，根据《中华人民共和国城乡规划法》等有关法律、法规的规定，圣人大街北、傅岩路东侧部分地块等</w:t>
      </w:r>
      <w:r>
        <w:rPr>
          <w:rFonts w:hint="eastAsia" w:ascii="仿宋" w:hAnsi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14</w:t>
      </w:r>
      <w:r>
        <w:rPr>
          <w:rFonts w:hint="eastAsia" w:ascii="仿宋" w:hAnsi="仿宋" w:eastAsia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个地块</w:t>
      </w:r>
      <w:r>
        <w:rPr>
          <w:rFonts w:hint="eastAsia" w:ascii="仿宋" w:hAnsi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详细规划</w:t>
      </w:r>
      <w:r>
        <w:rPr>
          <w:rFonts w:hint="eastAsia" w:ascii="仿宋" w:hAnsi="仿宋" w:eastAsia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已经平</w:t>
      </w:r>
      <w:r>
        <w:rPr>
          <w:rFonts w:hint="eastAsia" w:ascii="仿宋" w:hAnsi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陆县国土空间规划委员会2025年第二次会议审议</w:t>
      </w:r>
      <w:r>
        <w:rPr>
          <w:rFonts w:hint="eastAsia" w:ascii="仿宋" w:hAnsi="仿宋" w:eastAsia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通过。按照法定程序，现</w:t>
      </w:r>
      <w:r>
        <w:rPr>
          <w:rFonts w:hint="eastAsia" w:ascii="仿宋" w:hAnsi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将该14个地块详细规划</w:t>
      </w:r>
      <w:r>
        <w:rPr>
          <w:rFonts w:hint="eastAsia" w:ascii="仿宋" w:hAnsi="仿宋" w:eastAsia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进行公示,欢迎社会各界人士提出宝贵意见和建议。</w:t>
      </w:r>
    </w:p>
    <w:p w14:paraId="10AEDB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eastAsia" w:ascii="楷体" w:hAnsi="楷体" w:eastAsia="楷体" w:cs="楷体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pacing w:val="6"/>
          <w:sz w:val="32"/>
          <w:szCs w:val="32"/>
          <w:lang w:val="en-US" w:eastAsia="zh-CN"/>
        </w:rPr>
        <w:t>一、公示时间</w:t>
      </w:r>
    </w:p>
    <w:p w14:paraId="2899056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3"/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20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cs="仿宋"/>
          <w:color w:val="auto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年</w:t>
      </w:r>
      <w:r>
        <w:rPr>
          <w:rFonts w:hint="eastAsia" w:ascii="仿宋" w:hAnsi="仿宋" w:cs="仿宋"/>
          <w:color w:val="auto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cs="仿宋"/>
          <w:color w:val="auto"/>
          <w:sz w:val="32"/>
          <w:szCs w:val="32"/>
          <w:shd w:val="clear" w:color="auto" w:fill="FFFFFF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日至20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cs="仿宋"/>
          <w:color w:val="auto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  <w:lang w:val="en-US" w:eastAsia="zh-CN"/>
        </w:rPr>
        <w:t>5月</w:t>
      </w:r>
      <w:r>
        <w:rPr>
          <w:rFonts w:hint="eastAsia" w:ascii="仿宋" w:hAnsi="仿宋" w:cs="仿宋"/>
          <w:color w:val="auto"/>
          <w:sz w:val="32"/>
          <w:szCs w:val="32"/>
          <w:shd w:val="clear" w:color="auto" w:fill="FFFFFF"/>
          <w:lang w:val="en-US" w:eastAsia="zh-CN"/>
        </w:rPr>
        <w:t>20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  <w:lang w:val="en-US" w:eastAsia="zh-CN"/>
        </w:rPr>
        <w:t>日（30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个工作日</w:t>
      </w:r>
      <w:r>
        <w:rPr>
          <w:rFonts w:hint="eastAsia" w:ascii="仿宋" w:hAnsi="仿宋" w:cs="仿宋"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。</w:t>
      </w:r>
    </w:p>
    <w:p w14:paraId="161ECE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eastAsia" w:ascii="黑体" w:hAnsi="黑体" w:eastAsia="黑体" w:cs="黑体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pacing w:val="6"/>
          <w:sz w:val="32"/>
          <w:szCs w:val="32"/>
          <w:lang w:val="en-US" w:eastAsia="zh-CN"/>
        </w:rPr>
        <w:t>二、公示地点</w:t>
      </w:r>
    </w:p>
    <w:p w14:paraId="3F5E07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rPr>
          <w:rFonts w:hint="eastAsia" w:ascii="仿宋" w:hAnsi="仿宋" w:eastAsia="仿宋" w:cs="仿宋_GB2312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_GB2312"/>
          <w:color w:val="auto"/>
          <w:sz w:val="32"/>
          <w:szCs w:val="32"/>
          <w:lang w:eastAsia="zh-CN"/>
        </w:rPr>
        <w:t>平陆县人民政府网站</w:t>
      </w:r>
      <w:r>
        <w:rPr>
          <w:rFonts w:hint="eastAsia" w:ascii="仿宋" w:hAnsi="仿宋" w:cs="仿宋_GB2312"/>
          <w:color w:val="auto"/>
          <w:sz w:val="32"/>
          <w:szCs w:val="32"/>
          <w:lang w:eastAsia="zh-CN"/>
        </w:rPr>
        <w:t>。</w:t>
      </w:r>
    </w:p>
    <w:p w14:paraId="2FAE1B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eastAsia" w:ascii="黑体" w:hAnsi="黑体" w:eastAsia="黑体" w:cs="黑体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pacing w:val="6"/>
          <w:sz w:val="32"/>
          <w:szCs w:val="32"/>
          <w:lang w:val="en-US" w:eastAsia="zh-CN"/>
        </w:rPr>
        <w:t>三、公示意见反馈方式</w:t>
      </w:r>
    </w:p>
    <w:p w14:paraId="0C5AE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pacing w:val="6"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  <w:t>电子邮件请发送到：plcjghg@126.com；</w:t>
      </w:r>
    </w:p>
    <w:p w14:paraId="0856A2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pacing w:val="6"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  <w:t>书面意见请邮寄至平陆县</w:t>
      </w:r>
      <w:r>
        <w:rPr>
          <w:rFonts w:hint="eastAsia" w:ascii="仿宋" w:hAnsi="仿宋" w:cs="仿宋"/>
          <w:color w:val="auto"/>
          <w:spacing w:val="6"/>
          <w:sz w:val="32"/>
          <w:szCs w:val="32"/>
          <w:lang w:val="en-US" w:eastAsia="zh-CN"/>
        </w:rPr>
        <w:t>自然资源</w:t>
      </w:r>
      <w:r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  <w:t>局，邮编：044300；</w:t>
      </w:r>
    </w:p>
    <w:p w14:paraId="15A9D3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pacing w:val="6"/>
          <w:sz w:val="32"/>
          <w:szCs w:val="32"/>
          <w:lang w:val="en-US" w:eastAsia="zh-CN"/>
        </w:rPr>
        <w:t>（三）</w:t>
      </w:r>
      <w:r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  <w:t>意见和建议请在公示期限内提出，逾期未反馈，将视为无意见；</w:t>
      </w:r>
    </w:p>
    <w:p w14:paraId="229D520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56" w:firstLineChars="200"/>
        <w:textAlignment w:val="auto"/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pacing w:val="6"/>
          <w:sz w:val="32"/>
          <w:szCs w:val="32"/>
          <w:lang w:val="en-US" w:eastAsia="zh-CN"/>
        </w:rPr>
        <w:t>（四）</w:t>
      </w:r>
      <w:r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  <w:t>咨询电话：0359-3522113。</w:t>
      </w:r>
    </w:p>
    <w:p w14:paraId="4E93881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56" w:firstLineChars="200"/>
        <w:textAlignment w:val="auto"/>
        <w:rPr>
          <w:rFonts w:hint="eastAsia" w:ascii="黑体" w:hAnsi="黑体" w:eastAsia="黑体" w:cs="黑体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spacing w:val="6"/>
          <w:kern w:val="2"/>
          <w:sz w:val="32"/>
          <w:szCs w:val="32"/>
          <w:lang w:val="en-US" w:eastAsia="zh-CN" w:bidi="ar-SA"/>
        </w:rPr>
        <w:t>四、公示内容</w:t>
      </w:r>
    </w:p>
    <w:p w14:paraId="7111AF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default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lang w:val="en-US" w:eastAsia="zh-CN"/>
        </w:rPr>
        <w:t>（一）圣人大街北、傅岩路东侧部分地块详细规划</w:t>
      </w:r>
    </w:p>
    <w:p w14:paraId="5D111C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  <w:r>
        <w:rPr>
          <w:rFonts w:hint="eastAsia" w:ascii="仿宋" w:hAnsi="仿宋" w:eastAsia="仿宋" w:cs="仿宋"/>
          <w:b w:val="0"/>
          <w:bCs w:val="0"/>
          <w:color w:val="auto"/>
          <w:spacing w:val="6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" w:hAnsi="仿宋" w:eastAsia="仿宋" w:cs="仿宋"/>
          <w:color w:val="auto"/>
          <w:spacing w:val="6"/>
          <w:kern w:val="2"/>
          <w:sz w:val="32"/>
          <w:szCs w:val="32"/>
          <w:lang w:val="en-US" w:eastAsia="zh-CN" w:bidi="ar-SA"/>
        </w:rPr>
        <w:t xml:space="preserve"> </w:t>
      </w:r>
    </w:p>
    <w:p w14:paraId="03329B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地块位于圣人大街北、傅岩路东侧</w:t>
      </w: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，地块面积1905平方米。</w:t>
      </w:r>
    </w:p>
    <w:bookmarkEnd w:id="0"/>
    <w:p w14:paraId="2A0C7B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225D523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用地</w:t>
      </w: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性质：零售商业用地（090101）；控制指标：容积率≤2.5，建筑密度≤50%，绿地率≥15%，建筑限高≤20米；建筑后退用地界线：东侧≥3米，南侧≥3米，西侧≥3米，北侧≥3米；机动车出入口方向位于地块西侧。</w:t>
      </w:r>
    </w:p>
    <w:p w14:paraId="788910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3.圣人大街北、傅岩路东侧部分地块规划图则</w:t>
      </w:r>
    </w:p>
    <w:p w14:paraId="3F0BD2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163830</wp:posOffset>
            </wp:positionV>
            <wp:extent cx="5217795" cy="3626485"/>
            <wp:effectExtent l="0" t="0" r="1905" b="1206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55A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default" w:ascii="楷体" w:hAnsi="楷体" w:eastAsia="楷体" w:cs="楷体"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（二）太阳路东、青年街北部分地块</w:t>
      </w: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lang w:val="en-US" w:eastAsia="zh-CN"/>
        </w:rPr>
        <w:t>详细规划</w:t>
      </w:r>
    </w:p>
    <w:p w14:paraId="6F58CC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0675B0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太阳路东、青年街北</w:t>
      </w: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，地块面积3318.05平方米。</w:t>
      </w:r>
    </w:p>
    <w:p w14:paraId="7EA1AD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5BC08D6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用地性质：零售商业用地（090101）；控制指标：容积率≤3.5，建筑密度≤45%，绿地率≥20%，建筑限高≤55米；建筑后退用地界线：东侧≥9米，南侧≥3米，西侧≥3米，北侧≥6米；机动车出入口方向位于地块南侧。</w:t>
      </w:r>
    </w:p>
    <w:p w14:paraId="69088D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3.太阳路东、青年街北部分地块规划图则</w:t>
      </w:r>
    </w:p>
    <w:p w14:paraId="67B11B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158115</wp:posOffset>
            </wp:positionV>
            <wp:extent cx="5760720" cy="4102735"/>
            <wp:effectExtent l="0" t="0" r="11430" b="12065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EEB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（三）向阳街北、G209东侧部分地块</w:t>
      </w: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lang w:val="en-US" w:eastAsia="zh-CN"/>
        </w:rPr>
        <w:t>详细规划</w:t>
      </w:r>
    </w:p>
    <w:p w14:paraId="23FB9A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10B9EB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地块位于向阳街北、G209东侧，地块面积57383平方米。</w:t>
      </w:r>
    </w:p>
    <w:p w14:paraId="06B101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0002CE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（1）用地性质</w:t>
      </w:r>
    </w:p>
    <w:p w14:paraId="753F56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distribute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中小学用地（080403）42131平方米，公共卫生用地（080603）</w:t>
      </w:r>
    </w:p>
    <w:p w14:paraId="11335C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distribute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4402平方米，幼儿园用地（080404）8306平方米，公园绿地（1401）</w:t>
      </w:r>
    </w:p>
    <w:p w14:paraId="48F59D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2544平方米。</w:t>
      </w:r>
    </w:p>
    <w:p w14:paraId="28393FA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控制指标</w:t>
      </w:r>
    </w:p>
    <w:p w14:paraId="573924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中小学用地42131平方米：容积率≤1.1，建筑密度≤25%，绿地率≥30%，建筑限高地上≤30米，地下≤6米；建筑后退用地界线：东侧≥3米，南侧≥3米，西侧≥5米，北侧≥3米；机动车出入口方向位于地块南侧。</w:t>
      </w:r>
    </w:p>
    <w:p w14:paraId="7E3209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公共卫生用地4402平方米：容积率≤0.7，建筑密度≤25%，绿地率≥30%，建筑限高地上≤18米，地下≤5米；建筑后退用地界线：东侧≥3米，南侧≥3米，西侧≥5米，北侧≥3米；机动车出入口方向位于地块西侧。</w:t>
      </w:r>
    </w:p>
    <w:p w14:paraId="4B0D29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幼儿园用地8306平方米：容积率≤0.8，建筑密度≤27%，绿地率≥30%，建筑限高地上≤18米，地下≤5米；建筑后退用地界线：东侧≥3米，南侧≥3米，西侧≥5米，北侧≥3米；机动车出入口方向位于地块南侧。</w:t>
      </w:r>
    </w:p>
    <w:p w14:paraId="43D15A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公园绿地2544平方米：绿地率≥75％。</w:t>
      </w:r>
    </w:p>
    <w:p w14:paraId="265DEF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3.向阳街北、G209东侧部分地块规划图则</w:t>
      </w:r>
    </w:p>
    <w:p w14:paraId="6F597F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171450</wp:posOffset>
            </wp:positionV>
            <wp:extent cx="5120640" cy="3651885"/>
            <wp:effectExtent l="0" t="0" r="3810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B72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</w:p>
    <w:p w14:paraId="30A5A3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</w:p>
    <w:p w14:paraId="79EE63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</w:p>
    <w:p w14:paraId="222AD5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</w:p>
    <w:p w14:paraId="344C97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</w:p>
    <w:p w14:paraId="2DA3A6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</w:p>
    <w:p w14:paraId="225EFE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</w:p>
    <w:p w14:paraId="2A45E1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</w:p>
    <w:p w14:paraId="3DDF4F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</w:p>
    <w:p w14:paraId="631ED3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</w:p>
    <w:p w14:paraId="503051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（四）向阳街南、G209东侧部分地块</w:t>
      </w: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lang w:val="en-US" w:eastAsia="zh-CN"/>
        </w:rPr>
        <w:t>详细规划</w:t>
      </w:r>
    </w:p>
    <w:p w14:paraId="0AB7CC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32DDCD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地块位于向阳街南、G209东侧部分地块，地块面积约82602平方米。</w:t>
      </w:r>
    </w:p>
    <w:p w14:paraId="7EB6A5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39C309B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（1）用地性质：二类城镇住宅用地（070102）81117平方米，公园绿地（1401）1485平方米。</w:t>
      </w:r>
    </w:p>
    <w:p w14:paraId="3C23C32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（2）控制指标</w:t>
      </w:r>
    </w:p>
    <w:p w14:paraId="468065E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二类城镇住宅用地81117平方米：容积率≤2.8，建筑密度≤25%，绿地率≥30%，建筑限高≤60米；建筑后退用地界线：东侧≥3米，南侧≥5米，西侧≥5米，北侧≥5米；机动车出入口方向位于地块北侧、南侧。</w:t>
      </w:r>
    </w:p>
    <w:p w14:paraId="10C0D79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公园绿地1485平方米：绿地率≥75%，机动车出入口方向位于地块西侧。</w:t>
      </w:r>
    </w:p>
    <w:p w14:paraId="78F16B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3.向阳街南、G209东侧部分地块规划图则</w:t>
      </w:r>
    </w:p>
    <w:p w14:paraId="2C62013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138430</wp:posOffset>
            </wp:positionV>
            <wp:extent cx="4967605" cy="3522980"/>
            <wp:effectExtent l="0" t="0" r="444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16A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（五）太阳路东、傅岩路西、向阳街南、条山大街北部分地块</w:t>
      </w: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lang w:val="en-US" w:eastAsia="zh-CN"/>
        </w:rPr>
        <w:t>详细规划</w:t>
      </w:r>
    </w:p>
    <w:p w14:paraId="4C8AD7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34FB9E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地块位于太阳路东、傅岩路西、向阳街南、条山大街北，地块面积52550平方米。</w:t>
      </w:r>
    </w:p>
    <w:p w14:paraId="1CAF57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327686B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用地性质：二类城镇住宅用地（070102）；控制指标：容积率≤1.5，建筑密度≤40%，绿地率≥35%，建筑限高≤20米；建筑后退用地界线：东侧≥3米，南侧≥3米，西侧≥3米，北侧≥3米；机动车出入口方向位于地块西侧、东侧。</w:t>
      </w:r>
    </w:p>
    <w:p w14:paraId="4CEAA4A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default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3.太阳路东、傅岩路西、向阳街南、条山大街北部分地块规划图则</w:t>
      </w:r>
    </w:p>
    <w:p w14:paraId="6EFCBFB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33020</wp:posOffset>
            </wp:positionV>
            <wp:extent cx="4998720" cy="3548380"/>
            <wp:effectExtent l="0" t="0" r="11430" b="13970"/>
            <wp:wrapTopAndBottom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B3E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（六）圣人大街北、太阳路西部分地块</w:t>
      </w: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lang w:val="en-US" w:eastAsia="zh-CN"/>
        </w:rPr>
        <w:t>详细规划</w:t>
      </w:r>
    </w:p>
    <w:p w14:paraId="426BBC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4C2DD2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distribute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地块位于圣人大街北、太阳路西部分地块，地块面积</w:t>
      </w:r>
    </w:p>
    <w:p w14:paraId="5C9E62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10196平方米。</w:t>
      </w:r>
    </w:p>
    <w:p w14:paraId="422330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0535B5F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用地性质：机关团体用地（0801）；控制指标：容积率≥1.0，建筑密度≤35%，绿地率≥35%，建筑限高≤36米；建筑后退用地界线：东侧≥3米，南侧≥3米，西侧≥3米，北侧≥3米；机动车出入口方向位于地块南侧。</w:t>
      </w:r>
    </w:p>
    <w:p w14:paraId="572506B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default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3.圣人大街北、太阳路西部分地块规划图则</w:t>
      </w:r>
    </w:p>
    <w:p w14:paraId="56655CE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90170</wp:posOffset>
            </wp:positionV>
            <wp:extent cx="4686300" cy="3331845"/>
            <wp:effectExtent l="0" t="0" r="0" b="1905"/>
            <wp:wrapTopAndBottom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925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default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（七）条山大街南、太阳路中段两侧地块</w:t>
      </w: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lang w:val="en-US" w:eastAsia="zh-CN"/>
        </w:rPr>
        <w:t>详细规划</w:t>
      </w:r>
    </w:p>
    <w:p w14:paraId="298FEC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78D469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地块位于条山大街南、太阳路中段两侧，地块面积7571平方米。</w:t>
      </w:r>
    </w:p>
    <w:p w14:paraId="3599D9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4B2F9E9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（1）用地性质</w:t>
      </w:r>
    </w:p>
    <w:p w14:paraId="6D9C89D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公园绿地（1401）3434平方米，社会停车场用地（120803）4137平方米。</w:t>
      </w:r>
    </w:p>
    <w:p w14:paraId="0D797E5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（2）控制指标</w:t>
      </w:r>
    </w:p>
    <w:p w14:paraId="212B8DA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公园绿地3434平方米：绿地率≥75％。</w:t>
      </w:r>
    </w:p>
    <w:p w14:paraId="02E618A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社会停车场用地4137平方米：容积率≤0.5，绿地率≤20%，建筑限高≤12米；建筑后退用地界线：东侧≥5米，南侧≥5米，西侧≥5米，北侧≥10米；机动车出入口方向位于地块西侧。</w:t>
      </w:r>
    </w:p>
    <w:p w14:paraId="760F39A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default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586105</wp:posOffset>
            </wp:positionV>
            <wp:extent cx="4404995" cy="3137535"/>
            <wp:effectExtent l="0" t="0" r="14605" b="5715"/>
            <wp:wrapTopAndBottom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3.条山大街南、太阳路中段两侧地块规划图则</w:t>
      </w:r>
    </w:p>
    <w:p w14:paraId="3AFE5C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default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（八）张店镇民悦街南、伯乐大道西部分地块</w:t>
      </w: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lang w:val="en-US" w:eastAsia="zh-CN"/>
        </w:rPr>
        <w:t>详细规划</w:t>
      </w:r>
    </w:p>
    <w:p w14:paraId="7985EA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0F1A48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地块位于张店镇民悦街南、伯乐大道西，地块面积6667平方米。</w:t>
      </w:r>
    </w:p>
    <w:p w14:paraId="2FB73D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1A02B7B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用地性质：一类工业用地（100101）；控制指标：容积率≥1.0，建筑密度≤50%，绿地率≤20%，建筑限高≤24米；建筑后退用地界线：东侧≥5米，南侧≥3米，西侧≥3米，北侧≥5米；机动车出入口方向位于地块北侧、东侧。</w:t>
      </w:r>
    </w:p>
    <w:p w14:paraId="178475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3.张店镇民悦街南、伯乐大道西部分地块规划图则</w:t>
      </w:r>
    </w:p>
    <w:p w14:paraId="22655D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207010</wp:posOffset>
            </wp:positionV>
            <wp:extent cx="4495800" cy="3183255"/>
            <wp:effectExtent l="0" t="0" r="0" b="17145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546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default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（九）张店镇富民大街南、民悦街北、兴农大道西地块</w:t>
      </w: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lang w:val="en-US" w:eastAsia="zh-CN"/>
        </w:rPr>
        <w:t>详细规划</w:t>
      </w:r>
    </w:p>
    <w:p w14:paraId="1FDCB7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1D25D4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地块位于富民大街南、民悦街北、兴农大道西，地块面积约53104平方米。</w:t>
      </w:r>
    </w:p>
    <w:p w14:paraId="1F60E4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65A6FDB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用地性质：一类工业用地（100101）；控制指标：容积率≥1.0，建筑密度≤50%，绿地率≤20%，建筑限高≤24米；建筑后退用地界线：东侧≥5米，南侧≥3米，西侧≥3米，北侧≥3米；机动车出入口方向位于地块南侧、北侧。</w:t>
      </w:r>
    </w:p>
    <w:p w14:paraId="712770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3.张店镇富民大街南、民悦街北、兴农大道西地块规划图则</w:t>
      </w:r>
    </w:p>
    <w:p w14:paraId="7D6F78A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162560</wp:posOffset>
            </wp:positionV>
            <wp:extent cx="4751070" cy="3376930"/>
            <wp:effectExtent l="0" t="0" r="11430" b="13970"/>
            <wp:wrapTopAndBottom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（十）张店镇民悦街南、园西路东部分地块</w:t>
      </w: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lang w:val="en-US" w:eastAsia="zh-CN"/>
        </w:rPr>
        <w:t>详细规划</w:t>
      </w:r>
    </w:p>
    <w:p w14:paraId="6844BF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01121A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地块位于张店镇民悦街南、园西路东，地块面积14898平方米。</w:t>
      </w:r>
    </w:p>
    <w:p w14:paraId="5BF149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60AC0BE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用地性质：一类工业用地（100101）；控制指标：容积率≥1.0，建筑密度≤50%，绿地率≤20%，建筑限高≤24米；建筑后退用地界线：东侧≥3米，南侧≥3米，西侧≥3米，北侧≥3米；机动车出入口方向位于地块北侧、西侧。</w:t>
      </w:r>
    </w:p>
    <w:p w14:paraId="43D407C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default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3.张店镇民悦街南、园西路东部分地块规划图则</w:t>
      </w:r>
    </w:p>
    <w:p w14:paraId="519B45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116205</wp:posOffset>
            </wp:positionV>
            <wp:extent cx="4385945" cy="3108325"/>
            <wp:effectExtent l="0" t="0" r="14605" b="15875"/>
            <wp:wrapTopAndBottom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（十一）曹风线东、条山大街北侧部分地块</w:t>
      </w:r>
    </w:p>
    <w:p w14:paraId="24634A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3C4D70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地块位于曹风线东、条山大街北侧，地块面积55748平方米。</w:t>
      </w:r>
    </w:p>
    <w:p w14:paraId="0EDAF1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582B3E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（1）用地性质</w:t>
      </w:r>
    </w:p>
    <w:p w14:paraId="71C280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医院用地（080601）20191平方米，一类物流仓储用地（110101）35558平方米。</w:t>
      </w:r>
    </w:p>
    <w:p w14:paraId="70657C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（2）控制指标</w:t>
      </w:r>
    </w:p>
    <w:p w14:paraId="6A6401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医院用地20191平方米：容积率≤2.0，建筑密度≤35%，绿地率≥35%，建筑限高≤35米；建筑后退用地界线：东侧≥5米，南侧≥5米，西侧≥5米，北侧≥5米；机动车出入口方向位于地块南侧。</w:t>
      </w:r>
    </w:p>
    <w:p w14:paraId="4C2D3E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一类物流仓储用地35558平方米：容积率≥1.0，建筑密度≤50%，绿地率≥20%，建筑限高≤20米；建筑后退用地界线：东侧≥5米，南侧≥5米，西侧≥5米，北侧≥5米；机动车出入口方向位于地块南侧。</w:t>
      </w:r>
    </w:p>
    <w:p w14:paraId="1B876E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479425</wp:posOffset>
            </wp:positionV>
            <wp:extent cx="3926205" cy="2788285"/>
            <wp:effectExtent l="0" t="0" r="17145" b="12065"/>
            <wp:wrapTopAndBottom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3.曹风线东、条山大街北侧部分地块规划</w:t>
      </w: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图则</w:t>
      </w:r>
    </w:p>
    <w:p w14:paraId="45BF32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（十二）创业路东、规划三十路西、曹风线南、规划十一路北地块</w:t>
      </w:r>
    </w:p>
    <w:p w14:paraId="4891B6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4E54B9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地块位于创业路东、规划三十路西、曹风线南、规划十一路北地块，地块面积74895平方米。</w:t>
      </w:r>
      <w:bookmarkStart w:id="1" w:name="_GoBack"/>
      <w:bookmarkEnd w:id="1"/>
    </w:p>
    <w:p w14:paraId="197195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4A9FCD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（1）用地性质</w:t>
      </w:r>
    </w:p>
    <w:p w14:paraId="1B32B4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中等职业教育用地（080402）63316平方米，其他教育用地（080405）6136平方米，公园绿地（1401）5443平方米。</w:t>
      </w:r>
    </w:p>
    <w:p w14:paraId="189CF1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（2）控制指标</w:t>
      </w:r>
    </w:p>
    <w:p w14:paraId="6DB36C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中等职业教育用地63316平方米：容积率≤1.5，建筑密度≤35%，绿地率≥35%，建筑限高≤24米；建筑后退用地界线：东侧≥3米，南侧≥3米，西侧≥3米，北侧≥5米；机动车出入口方向位于地块东侧、南侧、西侧、北侧。</w:t>
      </w:r>
    </w:p>
    <w:p w14:paraId="3F3B20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其他教育用地6136平方米：容积率≥1.5，建筑密度≤35%，绿地率≥30%，建筑限高≤24米；建筑后退用地界线：东侧≥3米，南侧≥3米，西侧≥3米，北侧≥5米；机动车出入口方向位于地块南侧。</w:t>
      </w:r>
    </w:p>
    <w:p w14:paraId="797B7F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公园绿地5443平方米：绿地率≥75%。</w:t>
      </w:r>
    </w:p>
    <w:p w14:paraId="55EA9D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3.创业路东、规划三十路西、曹风线南、规划十一路北地块</w:t>
      </w: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规划图则</w:t>
      </w:r>
    </w:p>
    <w:p w14:paraId="0DA23F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5688" w:firstLineChars="1800"/>
        <w:jc w:val="both"/>
        <w:textAlignment w:val="auto"/>
        <w:outlineLvl w:val="9"/>
        <w:rPr>
          <w:rFonts w:hint="default" w:ascii="仿宋" w:hAnsi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186690</wp:posOffset>
            </wp:positionV>
            <wp:extent cx="4738370" cy="3367405"/>
            <wp:effectExtent l="0" t="0" r="5080" b="444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673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（十三）平陆县1.5万吨粮食收纳仓建设项目地块详细规划</w:t>
      </w:r>
    </w:p>
    <w:p w14:paraId="784E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01C996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地块位于平陆县张店镇后滩村，地块面积34257平方米。</w:t>
      </w:r>
    </w:p>
    <w:p w14:paraId="6E059C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1D9A25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（1）用地性质</w:t>
      </w:r>
    </w:p>
    <w:p w14:paraId="4880A4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储备库用地（1102）34257平方米，其中西地块32130平方米，东地块2127平方米。</w:t>
      </w:r>
    </w:p>
    <w:p w14:paraId="003F87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（2）控制指标</w:t>
      </w:r>
    </w:p>
    <w:p w14:paraId="05FE46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西地块32130平方米：容积率≤0.6，建筑密度≤40%，绿地率≥20%，建筑限高≤24米；建筑后退用地界线：东北侧≥12米，东南侧≥3米，南侧≥3米，西侧≥3米，北侧≥3米；机动车出入口方向位于地块东侧。</w:t>
      </w:r>
    </w:p>
    <w:p w14:paraId="345BDC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东地块2127平方米：容积率≤0.6，建筑密度≤40%，绿地率≥20%，建筑限高≤24米；建筑后退用地界线：东≥3米，南侧≥3米，西侧≥3米，北侧≥3米；机动车出入口方向位于地块北侧。</w:t>
      </w:r>
    </w:p>
    <w:p w14:paraId="2B90A6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3.平陆县1.5万吨粮食收纳仓建设项目地块详细规划</w:t>
      </w: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图则</w:t>
      </w:r>
    </w:p>
    <w:p w14:paraId="7F4B8F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cs="仿宋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177165</wp:posOffset>
            </wp:positionV>
            <wp:extent cx="5422265" cy="3829685"/>
            <wp:effectExtent l="0" t="0" r="6985" b="18415"/>
            <wp:wrapTopAndBottom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052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（十四）古虞国文化广场建设项目地块详细规划</w:t>
      </w:r>
    </w:p>
    <w:p w14:paraId="654A1B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78D639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</w:t>
      </w:r>
      <w:r>
        <w:rPr>
          <w:rFonts w:hint="eastAsia" w:ascii="仿宋" w:hAnsi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张店镇康乐大街南侧（张店镇政府对面），地块面积9782平方米。</w:t>
      </w:r>
    </w:p>
    <w:p w14:paraId="29D613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7B70D8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用地性质：广场用地（1403）；控制指标：容积率≤0.5，建筑密度≤10%，绿地率≥35%；建筑后退用地界线：东≥5米，南侧≥5米，西侧≥5米，北侧≥5米；机动车出入口方向位于地块北侧。</w:t>
      </w:r>
    </w:p>
    <w:p w14:paraId="787505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3.古虞国文化广场建设项目地块规划图则</w:t>
      </w:r>
    </w:p>
    <w:p w14:paraId="0FED07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5688" w:firstLineChars="1800"/>
        <w:jc w:val="both"/>
        <w:textAlignment w:val="auto"/>
        <w:outlineLvl w:val="9"/>
        <w:rPr>
          <w:rFonts w:hint="default" w:ascii="仿宋" w:hAnsi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153670</wp:posOffset>
            </wp:positionV>
            <wp:extent cx="4912995" cy="3496310"/>
            <wp:effectExtent l="0" t="0" r="1905" b="8890"/>
            <wp:wrapTopAndBottom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6B9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5688" w:firstLineChars="1800"/>
        <w:jc w:val="both"/>
        <w:textAlignment w:val="auto"/>
        <w:outlineLvl w:val="9"/>
        <w:rPr>
          <w:color w:val="auto"/>
        </w:rPr>
      </w:pPr>
      <w:r>
        <w:rPr>
          <w:rFonts w:hint="eastAsia" w:ascii="仿宋" w:hAnsi="仿宋" w:cs="仿宋"/>
          <w:b w:val="0"/>
          <w:bCs w:val="0"/>
          <w:color w:val="auto"/>
          <w:sz w:val="32"/>
          <w:szCs w:val="32"/>
          <w:lang w:val="en-US" w:eastAsia="zh-CN"/>
        </w:rPr>
        <w:t>2025年4月7日</w:t>
      </w: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6" w:h="16838"/>
      <w:pgMar w:top="2098" w:right="1474" w:bottom="1984" w:left="1588" w:header="851" w:footer="140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E91604">
    <w:pPr>
      <w:pStyle w:val="4"/>
      <w:jc w:val="right"/>
      <w:rPr>
        <w:rFonts w:hint="eastAsia" w:ascii="宋体" w:hAnsi="宋体" w:eastAsia="宋体" w:cs="宋体"/>
        <w:sz w:val="28"/>
        <w:lang w:eastAsia="zh-CN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C8905A"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instrText xml:space="preserve"> PAGE \* Arabic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s0lY7tAAAAAFAQAA&#10;DwAAAAAAAAABACAAAAAiAAAAZHJzL2Rvd25yZXYueG1sUEsBAhQAFAAAAAgAh07iQOvtEsLoAQAA&#10;yAMAAA4AAAAAAAAAAQAgAAAAHwEAAGRycy9lMm9Eb2MueG1sUEsFBgAAAAAGAAYAWQEAAHkF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8C8905A">
                    <w:pPr>
                      <w:pStyle w:val="4"/>
                      <w:jc w:val="right"/>
                    </w:pP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instrText xml:space="preserve"> PAGE \* Arabic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153E37">
    <w:pPr>
      <w:pStyle w:val="4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FF8E42">
    <w:pPr>
      <w:pStyle w:val="4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BB0306"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02E28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CD8E36"/>
    <w:multiLevelType w:val="singleLevel"/>
    <w:tmpl w:val="75CD8E36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FkOTYzOWU2ODAzMWNiNGNkMTEyNDZkZmVjY2YwN2YifQ=="/>
  </w:docVars>
  <w:rsids>
    <w:rsidRoot w:val="00000000"/>
    <w:rsid w:val="00360A75"/>
    <w:rsid w:val="003B3D3E"/>
    <w:rsid w:val="00D348C5"/>
    <w:rsid w:val="014459E8"/>
    <w:rsid w:val="01DD2D49"/>
    <w:rsid w:val="020D6C65"/>
    <w:rsid w:val="024873C8"/>
    <w:rsid w:val="025F22F0"/>
    <w:rsid w:val="0301550A"/>
    <w:rsid w:val="0305004C"/>
    <w:rsid w:val="053F51F8"/>
    <w:rsid w:val="05B80C59"/>
    <w:rsid w:val="060F210F"/>
    <w:rsid w:val="06622057"/>
    <w:rsid w:val="06874187"/>
    <w:rsid w:val="08096C55"/>
    <w:rsid w:val="09EC58F3"/>
    <w:rsid w:val="0A132C02"/>
    <w:rsid w:val="0A702237"/>
    <w:rsid w:val="0A9E5F43"/>
    <w:rsid w:val="0B0C18FE"/>
    <w:rsid w:val="0BFB5F44"/>
    <w:rsid w:val="0C4F5747"/>
    <w:rsid w:val="0C9170B0"/>
    <w:rsid w:val="0C9A4658"/>
    <w:rsid w:val="0CDF4CCD"/>
    <w:rsid w:val="0CEF0FE0"/>
    <w:rsid w:val="0D407BD1"/>
    <w:rsid w:val="0D7C07BE"/>
    <w:rsid w:val="0ECA0302"/>
    <w:rsid w:val="0F916285"/>
    <w:rsid w:val="0FD56282"/>
    <w:rsid w:val="10066A65"/>
    <w:rsid w:val="107C6D27"/>
    <w:rsid w:val="109127D2"/>
    <w:rsid w:val="10BC4AEB"/>
    <w:rsid w:val="10CD74F3"/>
    <w:rsid w:val="11F2110E"/>
    <w:rsid w:val="12D3458F"/>
    <w:rsid w:val="133002B2"/>
    <w:rsid w:val="147A532B"/>
    <w:rsid w:val="148C084B"/>
    <w:rsid w:val="17055580"/>
    <w:rsid w:val="17441045"/>
    <w:rsid w:val="1804388A"/>
    <w:rsid w:val="18B46AA2"/>
    <w:rsid w:val="18CE4810"/>
    <w:rsid w:val="194D6723"/>
    <w:rsid w:val="1A96341B"/>
    <w:rsid w:val="1B000C46"/>
    <w:rsid w:val="1B056B32"/>
    <w:rsid w:val="1B523561"/>
    <w:rsid w:val="1B9634CA"/>
    <w:rsid w:val="1C0874AD"/>
    <w:rsid w:val="1C8036FB"/>
    <w:rsid w:val="1E1634AE"/>
    <w:rsid w:val="1E370CF6"/>
    <w:rsid w:val="1F246B6E"/>
    <w:rsid w:val="1FB77434"/>
    <w:rsid w:val="203C1F09"/>
    <w:rsid w:val="20717F2A"/>
    <w:rsid w:val="21A8797C"/>
    <w:rsid w:val="21C31C4E"/>
    <w:rsid w:val="21E55D2C"/>
    <w:rsid w:val="22246333"/>
    <w:rsid w:val="22CE7885"/>
    <w:rsid w:val="23806D8F"/>
    <w:rsid w:val="2587603B"/>
    <w:rsid w:val="259721E1"/>
    <w:rsid w:val="267750E9"/>
    <w:rsid w:val="2749208D"/>
    <w:rsid w:val="282B6F5C"/>
    <w:rsid w:val="283F26BC"/>
    <w:rsid w:val="289D7996"/>
    <w:rsid w:val="28DE4A3E"/>
    <w:rsid w:val="29F35F3B"/>
    <w:rsid w:val="2A03756B"/>
    <w:rsid w:val="2CB26E8F"/>
    <w:rsid w:val="2D1A6652"/>
    <w:rsid w:val="2F055010"/>
    <w:rsid w:val="2F56601C"/>
    <w:rsid w:val="2FD9100A"/>
    <w:rsid w:val="2FED13F1"/>
    <w:rsid w:val="300B45CA"/>
    <w:rsid w:val="301F4960"/>
    <w:rsid w:val="305765ED"/>
    <w:rsid w:val="30A12166"/>
    <w:rsid w:val="31502A02"/>
    <w:rsid w:val="31552AFA"/>
    <w:rsid w:val="319D191F"/>
    <w:rsid w:val="324B69A0"/>
    <w:rsid w:val="32B467E1"/>
    <w:rsid w:val="33463D5A"/>
    <w:rsid w:val="33B05ADC"/>
    <w:rsid w:val="33ED0555"/>
    <w:rsid w:val="34595307"/>
    <w:rsid w:val="3526365A"/>
    <w:rsid w:val="359C41B5"/>
    <w:rsid w:val="35D408E8"/>
    <w:rsid w:val="37132956"/>
    <w:rsid w:val="378C27C6"/>
    <w:rsid w:val="378E1534"/>
    <w:rsid w:val="38B81410"/>
    <w:rsid w:val="39135F69"/>
    <w:rsid w:val="39CC0A8F"/>
    <w:rsid w:val="3AE17E79"/>
    <w:rsid w:val="3D92565F"/>
    <w:rsid w:val="3DEA2FF1"/>
    <w:rsid w:val="3FF91F1A"/>
    <w:rsid w:val="40AC6459"/>
    <w:rsid w:val="4105404B"/>
    <w:rsid w:val="41524D7A"/>
    <w:rsid w:val="416528CE"/>
    <w:rsid w:val="41A00DE6"/>
    <w:rsid w:val="423F05E2"/>
    <w:rsid w:val="42540D21"/>
    <w:rsid w:val="440451B3"/>
    <w:rsid w:val="44B512EC"/>
    <w:rsid w:val="44CC7DF3"/>
    <w:rsid w:val="47A70BB8"/>
    <w:rsid w:val="4A634F68"/>
    <w:rsid w:val="4A9C7659"/>
    <w:rsid w:val="4B23597E"/>
    <w:rsid w:val="4BBB25C9"/>
    <w:rsid w:val="4C59131E"/>
    <w:rsid w:val="4CBD3A2C"/>
    <w:rsid w:val="4CCD2790"/>
    <w:rsid w:val="4CF808C7"/>
    <w:rsid w:val="4E5B2C7B"/>
    <w:rsid w:val="4FDD232F"/>
    <w:rsid w:val="503C39CB"/>
    <w:rsid w:val="50955D9C"/>
    <w:rsid w:val="52961E51"/>
    <w:rsid w:val="537519C9"/>
    <w:rsid w:val="539F6F74"/>
    <w:rsid w:val="5592151F"/>
    <w:rsid w:val="5604697E"/>
    <w:rsid w:val="56422AEB"/>
    <w:rsid w:val="56B434BD"/>
    <w:rsid w:val="57CC2F3A"/>
    <w:rsid w:val="583354EA"/>
    <w:rsid w:val="5845114B"/>
    <w:rsid w:val="588A18EB"/>
    <w:rsid w:val="58AB223B"/>
    <w:rsid w:val="58C6180C"/>
    <w:rsid w:val="5A253F55"/>
    <w:rsid w:val="5BEE655E"/>
    <w:rsid w:val="5BFF5106"/>
    <w:rsid w:val="5CA847A0"/>
    <w:rsid w:val="5DF8261C"/>
    <w:rsid w:val="5E55223C"/>
    <w:rsid w:val="5F527E12"/>
    <w:rsid w:val="5F9B5588"/>
    <w:rsid w:val="5FBF1340"/>
    <w:rsid w:val="5FF7797C"/>
    <w:rsid w:val="602A1338"/>
    <w:rsid w:val="608A4105"/>
    <w:rsid w:val="61BF0B0D"/>
    <w:rsid w:val="61DF3FED"/>
    <w:rsid w:val="61E34544"/>
    <w:rsid w:val="61F0424A"/>
    <w:rsid w:val="6251243C"/>
    <w:rsid w:val="62AF0B10"/>
    <w:rsid w:val="62EF0E2C"/>
    <w:rsid w:val="632D4402"/>
    <w:rsid w:val="638E39EE"/>
    <w:rsid w:val="645A4B51"/>
    <w:rsid w:val="67115AF2"/>
    <w:rsid w:val="6727446C"/>
    <w:rsid w:val="676776A4"/>
    <w:rsid w:val="67A21D44"/>
    <w:rsid w:val="67CE48E7"/>
    <w:rsid w:val="67E63ED9"/>
    <w:rsid w:val="696E7F00"/>
    <w:rsid w:val="6A222FBB"/>
    <w:rsid w:val="6AA33E09"/>
    <w:rsid w:val="6B5664E8"/>
    <w:rsid w:val="6C327B30"/>
    <w:rsid w:val="6C3B0483"/>
    <w:rsid w:val="6DFE2B97"/>
    <w:rsid w:val="6E103B09"/>
    <w:rsid w:val="6EF052A5"/>
    <w:rsid w:val="6F4E2CEC"/>
    <w:rsid w:val="6F4F5D6D"/>
    <w:rsid w:val="6FB57387"/>
    <w:rsid w:val="70FA0808"/>
    <w:rsid w:val="72936E59"/>
    <w:rsid w:val="7391163C"/>
    <w:rsid w:val="751E3450"/>
    <w:rsid w:val="75E43528"/>
    <w:rsid w:val="763F0D0C"/>
    <w:rsid w:val="7697031F"/>
    <w:rsid w:val="798F69C7"/>
    <w:rsid w:val="79EB3639"/>
    <w:rsid w:val="7A5370D6"/>
    <w:rsid w:val="7AE069B4"/>
    <w:rsid w:val="7B3F165E"/>
    <w:rsid w:val="7E2854DD"/>
    <w:rsid w:val="7E57323F"/>
    <w:rsid w:val="7E886E7C"/>
    <w:rsid w:val="7E8C38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hint="eastAsia" w:ascii="微软雅黑 Light" w:hAnsi="微软雅黑 Light" w:eastAsia="仿宋" w:cs="微软雅黑 Light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autoRedefine/>
    <w:qFormat/>
    <w:uiPriority w:val="0"/>
    <w:pPr>
      <w:spacing w:line="360" w:lineRule="auto"/>
      <w:ind w:left="420" w:leftChars="200" w:firstLine="640" w:firstLineChars="200"/>
    </w:pPr>
    <w:rPr>
      <w:rFonts w:ascii="宋体" w:hAnsi="宋体"/>
      <w:sz w:val="24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9">
    <w:name w:val="样式3"/>
    <w:autoRedefine/>
    <w:qFormat/>
    <w:uiPriority w:val="0"/>
    <w:pPr>
      <w:widowControl w:val="0"/>
      <w:ind w:firstLine="560" w:firstLineChars="20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3626</Words>
  <Characters>4131</Characters>
  <Lines>0</Lines>
  <Paragraphs>0</Paragraphs>
  <TotalTime>11</TotalTime>
  <ScaleCrop>false</ScaleCrop>
  <LinksUpToDate>false</LinksUpToDate>
  <CharactersWithSpaces>4139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2022-11-17T00:39:00Z</dcterms:created>
  <dc:creator>a</dc:creator>
  <cp:lastModifiedBy>贺冉</cp:lastModifiedBy>
  <cp:lastPrinted>2025-04-07T01:27:00Z</cp:lastPrinted>
  <dcterms:modified xsi:type="dcterms:W3CDTF">2025-04-07T02:50:10Z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FD7F003B26EB474E80760B27D1B0ED24_13</vt:lpwstr>
  </property>
  <property fmtid="{D5CDD505-2E9C-101B-9397-08002B2CF9AE}" pid="4" name="KSOTemplateDocerSaveRecord">
    <vt:lpwstr>eyJoZGlkIjoiYTRhNDk3MTU2NjA2YTAzNzVlNzk5MjcxYWNiOGViOTMiLCJ1c2VySWQiOiIzMjM1MTE2NDMifQ==</vt:lpwstr>
  </property>
</Properties>
</file>